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F9" w:rsidRPr="008E6D5F" w:rsidRDefault="006B5FF9" w:rsidP="006B5FF9">
      <w:pPr>
        <w:pBdr>
          <w:bottom w:val="single" w:sz="12" w:space="1" w:color="auto"/>
        </w:pBdr>
        <w:spacing w:before="1080" w:after="480" w:line="276" w:lineRule="auto"/>
        <w:jc w:val="center"/>
        <w:rPr>
          <w:rFonts w:cs="Levenim MT"/>
          <w:b/>
          <w:caps/>
          <w:sz w:val="40"/>
          <w:szCs w:val="40"/>
        </w:rPr>
      </w:pPr>
    </w:p>
    <w:p w:rsidR="00AA1964" w:rsidRPr="008E6D5F" w:rsidRDefault="00786DCB" w:rsidP="00AA1964">
      <w:pPr>
        <w:pBdr>
          <w:bottom w:val="single" w:sz="12" w:space="1" w:color="auto"/>
        </w:pBdr>
        <w:spacing w:before="1680" w:after="480" w:line="276" w:lineRule="auto"/>
        <w:jc w:val="center"/>
        <w:rPr>
          <w:rFonts w:cs="Levenim MT"/>
          <w:b/>
          <w:caps/>
          <w:sz w:val="40"/>
          <w:szCs w:val="40"/>
        </w:rPr>
      </w:pPr>
      <w:r w:rsidRPr="008E6D5F">
        <w:rPr>
          <w:rFonts w:cs="Levenim MT"/>
          <w:b/>
          <w:caps/>
          <w:sz w:val="40"/>
          <w:szCs w:val="40"/>
        </w:rPr>
        <w:t xml:space="preserve">Bilješke uz financijske izvještaje </w:t>
      </w:r>
      <w:r w:rsidRPr="008E6D5F">
        <w:rPr>
          <w:rFonts w:cs="Levenim MT"/>
          <w:b/>
          <w:caps/>
          <w:sz w:val="40"/>
          <w:szCs w:val="40"/>
        </w:rPr>
        <w:br/>
        <w:t>za razdoblje 01.01.-31.12.201</w:t>
      </w:r>
      <w:r w:rsidR="00624142" w:rsidRPr="008E6D5F">
        <w:rPr>
          <w:rFonts w:cs="Levenim MT"/>
          <w:b/>
          <w:caps/>
          <w:sz w:val="40"/>
          <w:szCs w:val="40"/>
        </w:rPr>
        <w:t>6</w:t>
      </w:r>
      <w:r w:rsidRPr="008E6D5F">
        <w:rPr>
          <w:rFonts w:cs="Levenim MT"/>
          <w:b/>
          <w:caps/>
          <w:sz w:val="40"/>
          <w:szCs w:val="40"/>
        </w:rPr>
        <w:t>.</w:t>
      </w:r>
      <w:r w:rsidR="00AA1964" w:rsidRPr="008E6D5F">
        <w:rPr>
          <w:rFonts w:cs="Levenim MT"/>
          <w:b/>
          <w:caps/>
          <w:sz w:val="40"/>
          <w:szCs w:val="40"/>
        </w:rPr>
        <w:br/>
      </w:r>
    </w:p>
    <w:p w:rsidR="00AA1964" w:rsidRPr="008E6D5F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 xml:space="preserve">Naziv obveznika: Nastavni zavod za javno zdravstvo Dr. Andrija </w:t>
      </w:r>
      <w:r w:rsidR="00624142" w:rsidRPr="008E6D5F">
        <w:rPr>
          <w:rFonts w:asciiTheme="minorHAnsi" w:hAnsiTheme="minorHAnsi" w:cs="Levenim MT"/>
          <w:b/>
          <w:sz w:val="32"/>
          <w:szCs w:val="32"/>
          <w:lang w:val="hr-HR"/>
        </w:rPr>
        <w:t>Š</w:t>
      </w: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>tampar</w:t>
      </w:r>
    </w:p>
    <w:p w:rsidR="00AA1964" w:rsidRPr="008E6D5F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>Adresa obveznika: Mirogojska cesta 16, 10000 Zagreb</w:t>
      </w:r>
    </w:p>
    <w:p w:rsidR="00AA1964" w:rsidRPr="008E6D5F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>OIB: 33392005961</w:t>
      </w:r>
    </w:p>
    <w:p w:rsidR="00AA1964" w:rsidRPr="008E6D5F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>RKP: 25835</w:t>
      </w:r>
    </w:p>
    <w:p w:rsidR="00AA1964" w:rsidRPr="008E6D5F" w:rsidRDefault="00AA1964" w:rsidP="00AA1964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 w:val="32"/>
          <w:szCs w:val="32"/>
          <w:lang w:val="hr-HR"/>
        </w:rPr>
      </w:pPr>
      <w:r w:rsidRPr="008E6D5F">
        <w:rPr>
          <w:rFonts w:asciiTheme="minorHAnsi" w:hAnsiTheme="minorHAnsi" w:cs="Levenim MT"/>
          <w:b/>
          <w:sz w:val="32"/>
          <w:szCs w:val="32"/>
          <w:lang w:val="hr-HR"/>
        </w:rPr>
        <w:t>Razina: 31</w:t>
      </w:r>
    </w:p>
    <w:p w:rsidR="00AA1964" w:rsidRPr="008E6D5F" w:rsidRDefault="00AA1964" w:rsidP="00AA1964">
      <w:pPr>
        <w:pBdr>
          <w:bottom w:val="single" w:sz="12" w:space="1" w:color="auto"/>
        </w:pBdr>
        <w:spacing w:before="480" w:after="480" w:line="276" w:lineRule="auto"/>
        <w:jc w:val="center"/>
        <w:rPr>
          <w:rFonts w:cs="Levenim MT"/>
          <w:b/>
          <w:caps/>
        </w:rPr>
      </w:pPr>
    </w:p>
    <w:p w:rsidR="00786DCB" w:rsidRPr="008E6D5F" w:rsidRDefault="00786DCB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936836" w:rsidRPr="008E6D5F" w:rsidRDefault="00936836" w:rsidP="0033500F">
      <w:pPr>
        <w:spacing w:before="40" w:after="40" w:line="276" w:lineRule="auto"/>
        <w:ind w:left="-360" w:right="-157"/>
        <w:jc w:val="both"/>
        <w:rPr>
          <w:rFonts w:cs="Microsoft Sans Serif"/>
          <w:b/>
          <w:caps/>
        </w:rPr>
      </w:pPr>
    </w:p>
    <w:p w:rsidR="00786DCB" w:rsidRPr="008E6D5F" w:rsidRDefault="00786DCB" w:rsidP="0033500F">
      <w:pPr>
        <w:pStyle w:val="HeaderBase"/>
        <w:spacing w:before="40" w:after="40" w:line="276" w:lineRule="auto"/>
        <w:ind w:firstLine="357"/>
        <w:jc w:val="center"/>
        <w:rPr>
          <w:rFonts w:asciiTheme="minorHAnsi" w:hAnsiTheme="minorHAnsi" w:cs="Levenim MT"/>
          <w:b/>
          <w:sz w:val="24"/>
          <w:szCs w:val="24"/>
          <w:lang w:val="hr-HR"/>
        </w:rPr>
      </w:pPr>
      <w:r w:rsidRPr="008E6D5F">
        <w:rPr>
          <w:rFonts w:asciiTheme="minorHAnsi" w:hAnsiTheme="minorHAnsi" w:cs="Levenim MT"/>
          <w:b/>
          <w:sz w:val="24"/>
          <w:szCs w:val="24"/>
          <w:lang w:val="hr-HR"/>
        </w:rPr>
        <w:lastRenderedPageBreak/>
        <w:t>BILJEŠKE UZ FINANCIJSKE IZVJEŠTAJE</w:t>
      </w:r>
      <w:r w:rsidR="006B5FF9" w:rsidRPr="008E6D5F">
        <w:rPr>
          <w:rFonts w:asciiTheme="minorHAnsi" w:hAnsiTheme="minorHAnsi" w:cs="Levenim MT"/>
          <w:b/>
          <w:sz w:val="24"/>
          <w:szCs w:val="24"/>
          <w:lang w:val="hr-HR"/>
        </w:rPr>
        <w:t xml:space="preserve"> </w:t>
      </w:r>
      <w:r w:rsidRPr="008E6D5F">
        <w:rPr>
          <w:rFonts w:asciiTheme="minorHAnsi" w:hAnsiTheme="minorHAnsi" w:cs="Levenim MT"/>
          <w:b/>
          <w:sz w:val="24"/>
          <w:szCs w:val="24"/>
          <w:lang w:val="hr-HR"/>
        </w:rPr>
        <w:t>ZA RAZDOBLJE 01.01.-31.12.201</w:t>
      </w:r>
      <w:r w:rsidR="00624142" w:rsidRPr="008E6D5F">
        <w:rPr>
          <w:rFonts w:asciiTheme="minorHAnsi" w:hAnsiTheme="minorHAnsi" w:cs="Levenim MT"/>
          <w:b/>
          <w:sz w:val="24"/>
          <w:szCs w:val="24"/>
          <w:lang w:val="hr-HR"/>
        </w:rPr>
        <w:t>6</w:t>
      </w:r>
    </w:p>
    <w:p w:rsidR="0033500F" w:rsidRPr="008E6D5F" w:rsidRDefault="0033500F" w:rsidP="0033500F">
      <w:pPr>
        <w:pStyle w:val="HeaderBase"/>
        <w:spacing w:before="40" w:after="40" w:line="276" w:lineRule="auto"/>
        <w:ind w:firstLine="357"/>
        <w:jc w:val="center"/>
        <w:rPr>
          <w:rFonts w:asciiTheme="minorHAnsi" w:hAnsiTheme="minorHAnsi" w:cs="Levenim MT"/>
          <w:b/>
          <w:sz w:val="24"/>
          <w:szCs w:val="24"/>
          <w:lang w:val="hr-HR"/>
        </w:rPr>
      </w:pPr>
    </w:p>
    <w:p w:rsidR="00786DCB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>Financijsk</w:t>
      </w:r>
      <w:r w:rsidR="002848CA" w:rsidRPr="008E6D5F">
        <w:rPr>
          <w:rFonts w:asciiTheme="minorHAnsi" w:hAnsiTheme="minorHAnsi" w:cs="Levenim MT"/>
          <w:szCs w:val="22"/>
          <w:lang w:val="hr-HR"/>
        </w:rPr>
        <w:t>i</w:t>
      </w:r>
      <w:r w:rsidRPr="008E6D5F">
        <w:rPr>
          <w:rFonts w:asciiTheme="minorHAnsi" w:hAnsiTheme="minorHAnsi" w:cs="Levenim MT"/>
          <w:szCs w:val="22"/>
          <w:lang w:val="hr-HR"/>
        </w:rPr>
        <w:t xml:space="preserve"> izvješ</w:t>
      </w:r>
      <w:r w:rsidR="002848CA" w:rsidRPr="008E6D5F">
        <w:rPr>
          <w:rFonts w:asciiTheme="minorHAnsi" w:hAnsiTheme="minorHAnsi" w:cs="Levenim MT"/>
          <w:szCs w:val="22"/>
          <w:lang w:val="hr-HR"/>
        </w:rPr>
        <w:t>taji</w:t>
      </w:r>
      <w:r w:rsidRPr="008E6D5F">
        <w:rPr>
          <w:rFonts w:asciiTheme="minorHAnsi" w:hAnsiTheme="minorHAnsi" w:cs="Levenim MT"/>
          <w:szCs w:val="22"/>
          <w:lang w:val="hr-HR"/>
        </w:rPr>
        <w:t xml:space="preserve"> Nastavnog zavoda za javno zdravstvo „Dr. Andrija Štampar“ (u daljnjem tekstu Zavod) sastavljen</w:t>
      </w:r>
      <w:r w:rsidR="002848CA" w:rsidRPr="008E6D5F">
        <w:rPr>
          <w:rFonts w:asciiTheme="minorHAnsi" w:hAnsiTheme="minorHAnsi" w:cs="Levenim MT"/>
          <w:szCs w:val="22"/>
          <w:lang w:val="hr-HR"/>
        </w:rPr>
        <w:t>i</w:t>
      </w:r>
      <w:r w:rsidRPr="008E6D5F">
        <w:rPr>
          <w:rFonts w:asciiTheme="minorHAnsi" w:hAnsiTheme="minorHAnsi" w:cs="Levenim MT"/>
          <w:szCs w:val="22"/>
          <w:lang w:val="hr-HR"/>
        </w:rPr>
        <w:t xml:space="preserve"> su sukladno Pravilniku o financijskom izvještavanju u proračunskom računovodstvu (NN </w:t>
      </w:r>
      <w:r w:rsidR="006B5FF9" w:rsidRPr="008E6D5F">
        <w:rPr>
          <w:rFonts w:asciiTheme="minorHAnsi" w:hAnsiTheme="minorHAnsi" w:cs="Levenim MT"/>
          <w:szCs w:val="22"/>
          <w:lang w:val="hr-HR"/>
        </w:rPr>
        <w:t>3/15., 93/15</w:t>
      </w:r>
      <w:r w:rsidR="00624142" w:rsidRPr="008E6D5F">
        <w:rPr>
          <w:rFonts w:asciiTheme="minorHAnsi" w:hAnsiTheme="minorHAnsi" w:cs="Levenim MT"/>
          <w:szCs w:val="22"/>
          <w:lang w:val="hr-HR"/>
        </w:rPr>
        <w:t xml:space="preserve">, </w:t>
      </w:r>
      <w:r w:rsidR="00F7224D" w:rsidRPr="008E6D5F">
        <w:rPr>
          <w:rFonts w:asciiTheme="minorHAnsi" w:hAnsiTheme="minorHAnsi" w:cs="Levenim MT"/>
          <w:szCs w:val="22"/>
          <w:lang w:val="hr-HR"/>
        </w:rPr>
        <w:t xml:space="preserve">i </w:t>
      </w:r>
      <w:r w:rsidR="00624142" w:rsidRPr="008E6D5F">
        <w:rPr>
          <w:rFonts w:asciiTheme="minorHAnsi" w:hAnsiTheme="minorHAnsi" w:cs="Levenim MT"/>
          <w:szCs w:val="22"/>
          <w:lang w:val="hr-HR"/>
        </w:rPr>
        <w:t>135/15</w:t>
      </w:r>
      <w:r w:rsidR="006B5FF9" w:rsidRPr="008E6D5F">
        <w:rPr>
          <w:rFonts w:asciiTheme="minorHAnsi" w:hAnsiTheme="minorHAnsi" w:cs="Levenim MT"/>
          <w:szCs w:val="22"/>
          <w:lang w:val="hr-HR"/>
        </w:rPr>
        <w:t>.</w:t>
      </w:r>
      <w:r w:rsidRPr="008E6D5F">
        <w:rPr>
          <w:rFonts w:asciiTheme="minorHAnsi" w:hAnsiTheme="minorHAnsi" w:cs="Levenim MT"/>
          <w:szCs w:val="22"/>
          <w:lang w:val="hr-HR"/>
        </w:rPr>
        <w:t xml:space="preserve">) </w:t>
      </w:r>
      <w:r w:rsidR="006B5FF9" w:rsidRPr="008E6D5F">
        <w:rPr>
          <w:rFonts w:asciiTheme="minorHAnsi" w:hAnsiTheme="minorHAnsi" w:cs="Levenim MT"/>
          <w:szCs w:val="22"/>
          <w:lang w:val="hr-HR"/>
        </w:rPr>
        <w:t xml:space="preserve">i </w:t>
      </w:r>
      <w:r w:rsidRPr="008E6D5F">
        <w:rPr>
          <w:rFonts w:asciiTheme="minorHAnsi" w:hAnsiTheme="minorHAnsi" w:cs="Levenim MT"/>
          <w:szCs w:val="22"/>
          <w:lang w:val="hr-HR"/>
        </w:rPr>
        <w:t>u rokovima koje je objavilo Ministarstvo financija</w:t>
      </w:r>
      <w:r w:rsidR="006B5FF9" w:rsidRPr="008E6D5F">
        <w:rPr>
          <w:rFonts w:asciiTheme="minorHAnsi" w:hAnsiTheme="minorHAnsi" w:cs="Levenim MT"/>
          <w:szCs w:val="22"/>
          <w:lang w:val="hr-HR"/>
        </w:rPr>
        <w:t xml:space="preserve"> u Okružnici o predaji i konsolidaciji financijskih izvještaja za razdoblje 01. siječnja do 31. prosinca 201</w:t>
      </w:r>
      <w:r w:rsidR="00624142" w:rsidRPr="008E6D5F">
        <w:rPr>
          <w:rFonts w:asciiTheme="minorHAnsi" w:hAnsiTheme="minorHAnsi" w:cs="Levenim MT"/>
          <w:szCs w:val="22"/>
          <w:lang w:val="hr-HR"/>
        </w:rPr>
        <w:t>6</w:t>
      </w:r>
      <w:r w:rsidR="006B5FF9" w:rsidRPr="008E6D5F">
        <w:rPr>
          <w:rFonts w:asciiTheme="minorHAnsi" w:hAnsiTheme="minorHAnsi" w:cs="Levenim MT"/>
          <w:szCs w:val="22"/>
          <w:lang w:val="hr-HR"/>
        </w:rPr>
        <w:t>. godine.</w:t>
      </w:r>
    </w:p>
    <w:p w:rsidR="00786DCB" w:rsidRPr="008E6D5F" w:rsidRDefault="00786DCB" w:rsidP="00D75E68">
      <w:pPr>
        <w:pStyle w:val="HeaderBase"/>
        <w:shd w:val="clear" w:color="auto" w:fill="D9E2F3"/>
        <w:spacing w:before="480" w:after="240" w:line="288" w:lineRule="auto"/>
        <w:ind w:firstLine="0"/>
        <w:rPr>
          <w:rFonts w:asciiTheme="minorHAnsi" w:hAnsiTheme="minorHAnsi" w:cs="Levenim MT"/>
          <w:b/>
          <w:szCs w:val="22"/>
          <w:u w:val="single"/>
          <w:lang w:val="hr-HR"/>
        </w:rPr>
      </w:pPr>
      <w:r w:rsidRPr="008E6D5F">
        <w:rPr>
          <w:rFonts w:asciiTheme="minorHAnsi" w:hAnsiTheme="minorHAnsi" w:cs="Levenim MT"/>
          <w:b/>
          <w:szCs w:val="22"/>
          <w:u w:val="single"/>
          <w:lang w:val="hr-HR"/>
        </w:rPr>
        <w:t>BILANCA – Obrazac BIL</w:t>
      </w:r>
    </w:p>
    <w:p w:rsidR="00786DCB" w:rsidRPr="008E6D5F" w:rsidRDefault="00786DCB" w:rsidP="0038360F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  <w:b/>
        </w:rPr>
        <w:t xml:space="preserve">Ukupna imovina </w:t>
      </w:r>
      <w:r w:rsidRPr="008E6D5F">
        <w:rPr>
          <w:rFonts w:cs="Levenim MT"/>
        </w:rPr>
        <w:t xml:space="preserve">Zavoda </w:t>
      </w:r>
      <w:r w:rsidRPr="008E6D5F">
        <w:rPr>
          <w:rFonts w:cs="Levenim MT"/>
          <w:b/>
        </w:rPr>
        <w:t>(AOP 001)</w:t>
      </w:r>
      <w:r w:rsidRPr="008E6D5F">
        <w:rPr>
          <w:rFonts w:cs="Levenim MT"/>
        </w:rPr>
        <w:t xml:space="preserve"> iznosi </w:t>
      </w:r>
      <w:r w:rsidR="00624142" w:rsidRPr="008E6D5F">
        <w:rPr>
          <w:rFonts w:cs="Levenim MT"/>
        </w:rPr>
        <w:t>100.672.002,72</w:t>
      </w:r>
      <w:r w:rsidRPr="008E6D5F">
        <w:rPr>
          <w:rFonts w:cs="Levenim MT"/>
        </w:rPr>
        <w:t xml:space="preserve"> kn</w:t>
      </w:r>
      <w:r w:rsidR="00512A5A" w:rsidRPr="008E6D5F">
        <w:rPr>
          <w:rFonts w:cs="Levenim MT"/>
        </w:rPr>
        <w:t xml:space="preserve"> i manja je za </w:t>
      </w:r>
      <w:r w:rsidR="00624142" w:rsidRPr="008E6D5F">
        <w:rPr>
          <w:rFonts w:cs="Levenim MT"/>
        </w:rPr>
        <w:t>1,30</w:t>
      </w:r>
      <w:r w:rsidR="00512A5A" w:rsidRPr="008E6D5F">
        <w:rPr>
          <w:rFonts w:cs="Levenim MT"/>
        </w:rPr>
        <w:t xml:space="preserve"> % u odnosu na stanje prethodnog razdoblja</w:t>
      </w:r>
      <w:r w:rsidRPr="008E6D5F">
        <w:rPr>
          <w:rFonts w:cs="Levenim MT"/>
        </w:rPr>
        <w:t xml:space="preserve">. </w:t>
      </w:r>
    </w:p>
    <w:p w:rsidR="00786DCB" w:rsidRPr="008E6D5F" w:rsidRDefault="00786DCB" w:rsidP="0038360F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  <w:b/>
        </w:rPr>
        <w:t>Nefinancijska imovina</w:t>
      </w:r>
      <w:r w:rsidR="00512A5A" w:rsidRPr="008E6D5F">
        <w:rPr>
          <w:rFonts w:cs="Levenim MT"/>
          <w:b/>
        </w:rPr>
        <w:t xml:space="preserve"> (AOP 002)</w:t>
      </w:r>
      <w:r w:rsidRPr="008E6D5F">
        <w:rPr>
          <w:rFonts w:cs="Levenim MT"/>
          <w:b/>
        </w:rPr>
        <w:t xml:space="preserve"> </w:t>
      </w:r>
      <w:r w:rsidRPr="008E6D5F">
        <w:rPr>
          <w:rFonts w:cs="Levenim MT"/>
        </w:rPr>
        <w:t>na dan 31.12.201</w:t>
      </w:r>
      <w:r w:rsidR="00624142" w:rsidRPr="008E6D5F">
        <w:rPr>
          <w:rFonts w:cs="Levenim MT"/>
        </w:rPr>
        <w:t>6</w:t>
      </w:r>
      <w:r w:rsidRPr="008E6D5F">
        <w:rPr>
          <w:rFonts w:cs="Levenim MT"/>
        </w:rPr>
        <w:t xml:space="preserve">. godine iznosi </w:t>
      </w:r>
      <w:r w:rsidR="00624142" w:rsidRPr="008E6D5F">
        <w:rPr>
          <w:rFonts w:cs="Levenim MT"/>
        </w:rPr>
        <w:t>60.051.999,82</w:t>
      </w:r>
      <w:r w:rsidR="008B11B0" w:rsidRPr="008E6D5F">
        <w:rPr>
          <w:rFonts w:cs="Levenim MT"/>
        </w:rPr>
        <w:t xml:space="preserve"> kn</w:t>
      </w:r>
      <w:r w:rsidR="00C63FBE" w:rsidRPr="008E6D5F">
        <w:rPr>
          <w:rFonts w:cs="Levenim MT"/>
        </w:rPr>
        <w:t xml:space="preserve">, </w:t>
      </w:r>
      <w:r w:rsidRPr="008E6D5F">
        <w:rPr>
          <w:rFonts w:cs="Levenim MT"/>
        </w:rPr>
        <w:t xml:space="preserve">čini </w:t>
      </w:r>
      <w:r w:rsidR="00624142" w:rsidRPr="008E6D5F">
        <w:rPr>
          <w:rFonts w:cs="Levenim MT"/>
        </w:rPr>
        <w:t>59,65</w:t>
      </w:r>
      <w:r w:rsidRPr="008E6D5F">
        <w:rPr>
          <w:rFonts w:cs="Levenim MT"/>
        </w:rPr>
        <w:t>% ukupne imovine</w:t>
      </w:r>
      <w:r w:rsidR="00512A5A" w:rsidRPr="008E6D5F">
        <w:rPr>
          <w:rFonts w:cs="Levenim MT"/>
        </w:rPr>
        <w:t xml:space="preserve"> i smanjena </w:t>
      </w:r>
      <w:r w:rsidR="00C63FBE" w:rsidRPr="008E6D5F">
        <w:rPr>
          <w:rFonts w:cs="Levenim MT"/>
        </w:rPr>
        <w:t xml:space="preserve">je za </w:t>
      </w:r>
      <w:r w:rsidR="00377CCC" w:rsidRPr="008E6D5F">
        <w:rPr>
          <w:rFonts w:cs="Levenim MT"/>
        </w:rPr>
        <w:t>6,30</w:t>
      </w:r>
      <w:r w:rsidR="00C63FBE" w:rsidRPr="008E6D5F">
        <w:rPr>
          <w:rFonts w:cs="Levenim MT"/>
        </w:rPr>
        <w:t xml:space="preserve"> % u odnosu na stanje prošle godine</w:t>
      </w:r>
      <w:r w:rsidRPr="008E6D5F">
        <w:rPr>
          <w:rFonts w:cs="Levenim MT"/>
        </w:rPr>
        <w:t xml:space="preserve">. </w:t>
      </w:r>
    </w:p>
    <w:p w:rsidR="00786DCB" w:rsidRPr="008E6D5F" w:rsidRDefault="00512A5A" w:rsidP="0038360F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 xml:space="preserve">Ulaganja Zavoda u </w:t>
      </w:r>
      <w:r w:rsidR="00786DCB" w:rsidRPr="008E6D5F">
        <w:rPr>
          <w:rFonts w:cs="Levenim MT"/>
        </w:rPr>
        <w:t>nefin</w:t>
      </w:r>
      <w:r w:rsidR="003054D1" w:rsidRPr="008E6D5F">
        <w:rPr>
          <w:rFonts w:cs="Levenim MT"/>
        </w:rPr>
        <w:t xml:space="preserve">ancijsku imovinu </w:t>
      </w:r>
      <w:r w:rsidRPr="008E6D5F">
        <w:rPr>
          <w:rFonts w:cs="Levenim MT"/>
        </w:rPr>
        <w:t>u 201</w:t>
      </w:r>
      <w:r w:rsidR="00377CCC" w:rsidRPr="008E6D5F">
        <w:rPr>
          <w:rFonts w:cs="Levenim MT"/>
        </w:rPr>
        <w:t>6</w:t>
      </w:r>
      <w:r w:rsidRPr="008E6D5F">
        <w:rPr>
          <w:rFonts w:cs="Levenim MT"/>
        </w:rPr>
        <w:t xml:space="preserve">. godini iznosila su ukupno </w:t>
      </w:r>
      <w:r w:rsidR="00377CCC" w:rsidRPr="008E6D5F">
        <w:rPr>
          <w:rFonts w:eastAsia="Calibri" w:cs="Microsoft Sans Serif"/>
        </w:rPr>
        <w:t>2.667.382,18</w:t>
      </w:r>
      <w:r w:rsidR="008E37ED" w:rsidRPr="008E6D5F">
        <w:rPr>
          <w:rFonts w:eastAsia="Calibri" w:cs="Microsoft Sans Serif"/>
        </w:rPr>
        <w:t xml:space="preserve"> kn što je manje za </w:t>
      </w:r>
      <w:r w:rsidR="00377CCC" w:rsidRPr="008E6D5F">
        <w:rPr>
          <w:rFonts w:eastAsia="Calibri" w:cs="Microsoft Sans Serif"/>
        </w:rPr>
        <w:t>984.711,36 kn ili 26,96</w:t>
      </w:r>
      <w:r w:rsidR="008E37ED" w:rsidRPr="008E6D5F">
        <w:rPr>
          <w:rFonts w:eastAsia="Calibri" w:cs="Microsoft Sans Serif"/>
        </w:rPr>
        <w:t xml:space="preserve"> % u odnosu na ulaganja u 201</w:t>
      </w:r>
      <w:r w:rsidR="00377CCC" w:rsidRPr="008E6D5F">
        <w:rPr>
          <w:rFonts w:eastAsia="Calibri" w:cs="Microsoft Sans Serif"/>
        </w:rPr>
        <w:t>5</w:t>
      </w:r>
      <w:r w:rsidR="008E37ED" w:rsidRPr="008E6D5F">
        <w:rPr>
          <w:rFonts w:eastAsia="Calibri" w:cs="Microsoft Sans Serif"/>
        </w:rPr>
        <w:t>. godini. U 201</w:t>
      </w:r>
      <w:r w:rsidR="00377CCC" w:rsidRPr="008E6D5F">
        <w:rPr>
          <w:rFonts w:eastAsia="Calibri" w:cs="Microsoft Sans Serif"/>
        </w:rPr>
        <w:t>6</w:t>
      </w:r>
      <w:r w:rsidR="008E37ED" w:rsidRPr="008E6D5F">
        <w:rPr>
          <w:rFonts w:eastAsia="Calibri" w:cs="Microsoft Sans Serif"/>
        </w:rPr>
        <w:t xml:space="preserve">. godini </w:t>
      </w:r>
      <w:r w:rsidR="003054D1" w:rsidRPr="008E6D5F">
        <w:rPr>
          <w:rFonts w:cs="Levenim MT"/>
        </w:rPr>
        <w:t xml:space="preserve">najznačajnija ulaganja </w:t>
      </w:r>
      <w:r w:rsidR="008E37ED" w:rsidRPr="008E6D5F">
        <w:rPr>
          <w:rFonts w:cs="Levenim MT"/>
        </w:rPr>
        <w:t xml:space="preserve">su </w:t>
      </w:r>
      <w:r w:rsidR="003054D1" w:rsidRPr="008E6D5F">
        <w:rPr>
          <w:rFonts w:cs="Levenim MT"/>
        </w:rPr>
        <w:t>u</w:t>
      </w:r>
      <w:r w:rsidR="008E37ED" w:rsidRPr="008E6D5F">
        <w:rPr>
          <w:rFonts w:cs="Levenim MT"/>
        </w:rPr>
        <w:t xml:space="preserve"> nabavu </w:t>
      </w:r>
      <w:r w:rsidR="00377CCC" w:rsidRPr="008E6D5F">
        <w:rPr>
          <w:rFonts w:cs="Levenim MT"/>
        </w:rPr>
        <w:t xml:space="preserve">medicinske i </w:t>
      </w:r>
      <w:r w:rsidR="008E37ED" w:rsidRPr="008E6D5F">
        <w:rPr>
          <w:rFonts w:cs="Levenim MT"/>
        </w:rPr>
        <w:t>laboratorijske oprem</w:t>
      </w:r>
      <w:r w:rsidR="00377CCC" w:rsidRPr="008E6D5F">
        <w:rPr>
          <w:rFonts w:cs="Levenim MT"/>
        </w:rPr>
        <w:t>e</w:t>
      </w:r>
      <w:r w:rsidR="008E37ED" w:rsidRPr="008E6D5F">
        <w:rPr>
          <w:rFonts w:cs="Levenim MT"/>
        </w:rPr>
        <w:t xml:space="preserve"> (</w:t>
      </w:r>
      <w:r w:rsidR="00377CCC" w:rsidRPr="008E6D5F">
        <w:rPr>
          <w:rFonts w:cs="Levenim MT"/>
        </w:rPr>
        <w:t xml:space="preserve">1.527.487,10 </w:t>
      </w:r>
      <w:r w:rsidR="008E37ED" w:rsidRPr="008E6D5F">
        <w:rPr>
          <w:rFonts w:cs="Levenim MT"/>
        </w:rPr>
        <w:t xml:space="preserve">kn), </w:t>
      </w:r>
      <w:r w:rsidR="0033500F" w:rsidRPr="008E6D5F">
        <w:rPr>
          <w:rFonts w:cs="Levenim MT"/>
        </w:rPr>
        <w:t xml:space="preserve">nabavu </w:t>
      </w:r>
      <w:r w:rsidR="00377CCC" w:rsidRPr="008E6D5F">
        <w:rPr>
          <w:rFonts w:cs="Levenim MT"/>
        </w:rPr>
        <w:t>uredske opreme i namještaja</w:t>
      </w:r>
      <w:r w:rsidR="008E37ED" w:rsidRPr="008E6D5F">
        <w:rPr>
          <w:rFonts w:cs="Levenim MT"/>
        </w:rPr>
        <w:t xml:space="preserve"> (</w:t>
      </w:r>
      <w:r w:rsidR="00377CCC" w:rsidRPr="008E6D5F">
        <w:rPr>
          <w:rFonts w:cs="Levenim MT"/>
        </w:rPr>
        <w:t>400.872,53</w:t>
      </w:r>
      <w:r w:rsidR="008E37ED" w:rsidRPr="008E6D5F">
        <w:rPr>
          <w:rFonts w:cs="Levenim MT"/>
        </w:rPr>
        <w:t xml:space="preserve"> kn) i nabavu licenci (</w:t>
      </w:r>
      <w:r w:rsidR="00377CCC" w:rsidRPr="008E6D5F">
        <w:rPr>
          <w:rFonts w:cs="Levenim MT"/>
        </w:rPr>
        <w:t>551.736,50</w:t>
      </w:r>
      <w:r w:rsidR="008E37ED" w:rsidRPr="008E6D5F">
        <w:rPr>
          <w:rFonts w:cs="Levenim MT"/>
        </w:rPr>
        <w:t xml:space="preserve"> kn).</w:t>
      </w:r>
    </w:p>
    <w:p w:rsidR="00786DCB" w:rsidRPr="008E6D5F" w:rsidRDefault="00786DCB" w:rsidP="0038360F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 xml:space="preserve">Ispravak vrijednosti dugotrajne nefinancijske imovine evidentiran je sukladno </w:t>
      </w:r>
      <w:r w:rsidR="008E37ED" w:rsidRPr="008E6D5F">
        <w:rPr>
          <w:rFonts w:cs="Levenim MT"/>
        </w:rPr>
        <w:t>Pravilniku</w:t>
      </w:r>
      <w:r w:rsidRPr="008E6D5F">
        <w:rPr>
          <w:rFonts w:cs="Levenim MT"/>
        </w:rPr>
        <w:t xml:space="preserve"> o proračunskom računovodstvu i računskom planu i prema godišnjim stopama ispravka vrijednosti propisanih istim Pravilnikom. Ukupan iznos ispravka vrijednosti </w:t>
      </w:r>
      <w:r w:rsidR="003054D1" w:rsidRPr="008E6D5F">
        <w:rPr>
          <w:rFonts w:cs="Levenim MT"/>
        </w:rPr>
        <w:t>dugotrajne imovine Zavoda u 201</w:t>
      </w:r>
      <w:r w:rsidR="00377CCC" w:rsidRPr="008E6D5F">
        <w:rPr>
          <w:rFonts w:cs="Levenim MT"/>
        </w:rPr>
        <w:t>6</w:t>
      </w:r>
      <w:r w:rsidRPr="008E6D5F">
        <w:rPr>
          <w:rFonts w:cs="Levenim MT"/>
        </w:rPr>
        <w:t xml:space="preserve">. godini iznosi </w:t>
      </w:r>
      <w:r w:rsidR="00377CCC" w:rsidRPr="008E6D5F">
        <w:rPr>
          <w:rFonts w:cs="Levenim MT"/>
        </w:rPr>
        <w:t>6.610.692,19</w:t>
      </w:r>
      <w:r w:rsidR="003054D1" w:rsidRPr="008E6D5F">
        <w:rPr>
          <w:rFonts w:cs="Levenim MT"/>
        </w:rPr>
        <w:t xml:space="preserve"> </w:t>
      </w:r>
      <w:r w:rsidRPr="008E6D5F">
        <w:rPr>
          <w:rFonts w:cs="Levenim MT"/>
        </w:rPr>
        <w:t>kn.</w:t>
      </w:r>
    </w:p>
    <w:p w:rsidR="00786DCB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>Financijska imovina (AOP 0</w:t>
      </w:r>
      <w:r w:rsidR="008E37ED" w:rsidRPr="008E6D5F">
        <w:rPr>
          <w:rFonts w:asciiTheme="minorHAnsi" w:hAnsiTheme="minorHAnsi" w:cs="Levenim MT"/>
          <w:b/>
          <w:szCs w:val="22"/>
          <w:lang w:val="hr-HR"/>
        </w:rPr>
        <w:t>63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 iznosi </w:t>
      </w:r>
      <w:r w:rsidR="008A5C5B" w:rsidRPr="008E6D5F">
        <w:rPr>
          <w:rFonts w:asciiTheme="minorHAnsi" w:hAnsiTheme="minorHAnsi" w:cs="Levenim MT"/>
          <w:szCs w:val="22"/>
          <w:lang w:val="hr-HR"/>
        </w:rPr>
        <w:t>40.620.002,90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 i predstavlja </w:t>
      </w:r>
      <w:r w:rsidR="008A5C5B" w:rsidRPr="008E6D5F">
        <w:rPr>
          <w:rFonts w:asciiTheme="minorHAnsi" w:hAnsiTheme="minorHAnsi" w:cs="Levenim MT"/>
          <w:szCs w:val="22"/>
          <w:lang w:val="hr-HR"/>
        </w:rPr>
        <w:t>40,35</w:t>
      </w:r>
      <w:r w:rsidRPr="008E6D5F">
        <w:rPr>
          <w:rFonts w:asciiTheme="minorHAnsi" w:hAnsiTheme="minorHAnsi" w:cs="Levenim MT"/>
          <w:szCs w:val="22"/>
          <w:lang w:val="hr-HR"/>
        </w:rPr>
        <w:t>% ukupne imovine Zavoda</w:t>
      </w:r>
      <w:r w:rsidR="008469CA" w:rsidRPr="008E6D5F">
        <w:rPr>
          <w:rFonts w:asciiTheme="minorHAnsi" w:hAnsiTheme="minorHAnsi" w:cs="Levenim MT"/>
          <w:szCs w:val="22"/>
          <w:lang w:val="hr-HR"/>
        </w:rPr>
        <w:t xml:space="preserve"> i </w:t>
      </w:r>
      <w:r w:rsidR="008A5C5B" w:rsidRPr="008E6D5F">
        <w:rPr>
          <w:rFonts w:asciiTheme="minorHAnsi" w:hAnsiTheme="minorHAnsi" w:cs="Levenim MT"/>
          <w:szCs w:val="22"/>
          <w:lang w:val="hr-HR"/>
        </w:rPr>
        <w:t>povećana</w:t>
      </w:r>
      <w:r w:rsidR="008469CA" w:rsidRPr="008E6D5F">
        <w:rPr>
          <w:rFonts w:asciiTheme="minorHAnsi" w:hAnsiTheme="minorHAnsi" w:cs="Levenim MT"/>
          <w:szCs w:val="22"/>
          <w:lang w:val="hr-HR"/>
        </w:rPr>
        <w:t xml:space="preserve"> je u odnosu na stanje prethodne godine za </w:t>
      </w:r>
      <w:r w:rsidR="008A5C5B" w:rsidRPr="008E6D5F">
        <w:rPr>
          <w:rFonts w:asciiTheme="minorHAnsi" w:hAnsiTheme="minorHAnsi" w:cs="Levenim MT"/>
          <w:szCs w:val="22"/>
          <w:lang w:val="hr-HR"/>
        </w:rPr>
        <w:t>7,3</w:t>
      </w:r>
      <w:r w:rsidR="008469CA" w:rsidRPr="008E6D5F">
        <w:rPr>
          <w:rFonts w:asciiTheme="minorHAnsi" w:hAnsiTheme="minorHAnsi" w:cs="Levenim MT"/>
          <w:szCs w:val="22"/>
          <w:lang w:val="hr-HR"/>
        </w:rPr>
        <w:t>%</w:t>
      </w:r>
      <w:r w:rsidRPr="008E6D5F">
        <w:rPr>
          <w:rFonts w:asciiTheme="minorHAnsi" w:hAnsiTheme="minorHAnsi" w:cs="Levenim MT"/>
          <w:szCs w:val="22"/>
          <w:lang w:val="hr-HR"/>
        </w:rPr>
        <w:t>.</w:t>
      </w:r>
    </w:p>
    <w:p w:rsidR="00322819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>Novac u banci i blagajni (AOP 06</w:t>
      </w:r>
      <w:r w:rsidR="00F541A3" w:rsidRPr="008E6D5F">
        <w:rPr>
          <w:rFonts w:asciiTheme="minorHAnsi" w:hAnsiTheme="minorHAnsi" w:cs="Levenim MT"/>
          <w:b/>
          <w:szCs w:val="22"/>
          <w:lang w:val="hr-HR"/>
        </w:rPr>
        <w:t>4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="008469CA" w:rsidRPr="008E6D5F">
        <w:rPr>
          <w:rFonts w:asciiTheme="minorHAnsi" w:hAnsiTheme="minorHAnsi" w:cs="Levenim MT"/>
          <w:szCs w:val="22"/>
          <w:lang w:val="hr-HR"/>
        </w:rPr>
        <w:t xml:space="preserve"> iznosi </w:t>
      </w:r>
      <w:r w:rsidR="008A5C5B" w:rsidRPr="008E6D5F">
        <w:rPr>
          <w:rFonts w:asciiTheme="minorHAnsi" w:hAnsiTheme="minorHAnsi" w:cs="Levenim MT"/>
          <w:szCs w:val="22"/>
          <w:lang w:val="hr-HR"/>
        </w:rPr>
        <w:t>22.223.113,28</w:t>
      </w:r>
      <w:r w:rsidR="008469CA" w:rsidRPr="008E6D5F">
        <w:rPr>
          <w:rFonts w:asciiTheme="minorHAnsi" w:hAnsiTheme="minorHAnsi" w:cs="Levenim MT"/>
          <w:szCs w:val="22"/>
          <w:lang w:val="hr-HR"/>
        </w:rPr>
        <w:t xml:space="preserve"> i </w:t>
      </w:r>
      <w:r w:rsidRPr="008E6D5F">
        <w:rPr>
          <w:rFonts w:asciiTheme="minorHAnsi" w:hAnsiTheme="minorHAnsi" w:cs="Levenim MT"/>
          <w:szCs w:val="22"/>
          <w:lang w:val="hr-HR"/>
        </w:rPr>
        <w:t xml:space="preserve">čini </w:t>
      </w:r>
      <w:r w:rsidR="008A5C5B" w:rsidRPr="008E6D5F">
        <w:rPr>
          <w:rFonts w:asciiTheme="minorHAnsi" w:hAnsiTheme="minorHAnsi" w:cs="Levenim MT"/>
          <w:szCs w:val="22"/>
          <w:lang w:val="hr-HR"/>
        </w:rPr>
        <w:t>54,71</w:t>
      </w:r>
      <w:r w:rsidRPr="008E6D5F">
        <w:rPr>
          <w:rFonts w:asciiTheme="minorHAnsi" w:hAnsiTheme="minorHAnsi" w:cs="Levenim MT"/>
          <w:szCs w:val="22"/>
          <w:lang w:val="hr-HR"/>
        </w:rPr>
        <w:t xml:space="preserve">% financijske imovine i </w:t>
      </w:r>
      <w:r w:rsidR="008A5C5B" w:rsidRPr="008E6D5F">
        <w:rPr>
          <w:rFonts w:asciiTheme="minorHAnsi" w:hAnsiTheme="minorHAnsi" w:cs="Levenim MT"/>
          <w:szCs w:val="22"/>
          <w:lang w:val="hr-HR"/>
        </w:rPr>
        <w:t>22,07</w:t>
      </w:r>
      <w:r w:rsidR="002B1F35" w:rsidRPr="008E6D5F">
        <w:rPr>
          <w:rFonts w:asciiTheme="minorHAnsi" w:hAnsiTheme="minorHAnsi" w:cs="Levenim MT"/>
          <w:szCs w:val="22"/>
          <w:lang w:val="hr-HR"/>
        </w:rPr>
        <w:t>% ukupne imovine, dok stanje danih depozita -</w:t>
      </w:r>
      <w:r w:rsidR="008B11B0" w:rsidRPr="008E6D5F">
        <w:rPr>
          <w:rFonts w:asciiTheme="minorHAnsi" w:hAnsiTheme="minorHAnsi" w:cs="Levenim MT"/>
          <w:szCs w:val="22"/>
          <w:lang w:val="hr-HR"/>
        </w:rPr>
        <w:t xml:space="preserve"> </w:t>
      </w:r>
      <w:r w:rsidR="002B1F35" w:rsidRPr="008E6D5F">
        <w:rPr>
          <w:rFonts w:asciiTheme="minorHAnsi" w:hAnsiTheme="minorHAnsi" w:cs="Levenim MT"/>
          <w:szCs w:val="22"/>
          <w:lang w:val="hr-HR"/>
        </w:rPr>
        <w:t xml:space="preserve">oročenih sredstava </w:t>
      </w:r>
      <w:r w:rsidR="002B1F35" w:rsidRPr="008E6D5F">
        <w:rPr>
          <w:rFonts w:asciiTheme="minorHAnsi" w:hAnsiTheme="minorHAnsi" w:cs="Levenim MT"/>
          <w:b/>
          <w:szCs w:val="22"/>
          <w:lang w:val="hr-HR"/>
        </w:rPr>
        <w:t xml:space="preserve">(AOP 075) </w:t>
      </w:r>
      <w:r w:rsidR="002B1F35" w:rsidRPr="008E6D5F">
        <w:rPr>
          <w:rFonts w:asciiTheme="minorHAnsi" w:hAnsiTheme="minorHAnsi" w:cs="Levenim MT"/>
          <w:szCs w:val="22"/>
          <w:lang w:val="hr-HR"/>
        </w:rPr>
        <w:t>na dan</w:t>
      </w:r>
      <w:r w:rsidR="002B1F35" w:rsidRPr="008E6D5F">
        <w:rPr>
          <w:rFonts w:asciiTheme="minorHAnsi" w:hAnsiTheme="minorHAnsi" w:cs="Levenim MT"/>
          <w:b/>
          <w:szCs w:val="22"/>
          <w:lang w:val="hr-HR"/>
        </w:rPr>
        <w:t xml:space="preserve"> </w:t>
      </w:r>
      <w:r w:rsidR="002B1F35" w:rsidRPr="008E6D5F">
        <w:rPr>
          <w:rFonts w:asciiTheme="minorHAnsi" w:hAnsiTheme="minorHAnsi" w:cs="Levenim MT"/>
          <w:szCs w:val="22"/>
          <w:lang w:val="hr-HR"/>
        </w:rPr>
        <w:t>31.12.201</w:t>
      </w:r>
      <w:r w:rsidR="008A5C5B" w:rsidRPr="008E6D5F">
        <w:rPr>
          <w:rFonts w:asciiTheme="minorHAnsi" w:hAnsiTheme="minorHAnsi" w:cs="Levenim MT"/>
          <w:szCs w:val="22"/>
          <w:lang w:val="hr-HR"/>
        </w:rPr>
        <w:t>6</w:t>
      </w:r>
      <w:r w:rsidR="002B1F35" w:rsidRPr="008E6D5F">
        <w:rPr>
          <w:rFonts w:asciiTheme="minorHAnsi" w:hAnsiTheme="minorHAnsi" w:cs="Levenim MT"/>
          <w:szCs w:val="22"/>
          <w:lang w:val="hr-HR"/>
        </w:rPr>
        <w:t>. godine iznosi 1.000.0</w:t>
      </w:r>
      <w:r w:rsidR="008B11B0" w:rsidRPr="008E6D5F">
        <w:rPr>
          <w:rFonts w:asciiTheme="minorHAnsi" w:hAnsiTheme="minorHAnsi" w:cs="Levenim MT"/>
          <w:szCs w:val="22"/>
          <w:lang w:val="hr-HR"/>
        </w:rPr>
        <w:t>0</w:t>
      </w:r>
      <w:r w:rsidR="002B1F35" w:rsidRPr="008E6D5F">
        <w:rPr>
          <w:rFonts w:asciiTheme="minorHAnsi" w:hAnsiTheme="minorHAnsi" w:cs="Levenim MT"/>
          <w:szCs w:val="22"/>
          <w:lang w:val="hr-HR"/>
        </w:rPr>
        <w:t>0,00 kn.</w:t>
      </w:r>
    </w:p>
    <w:p w:rsidR="00437C97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 xml:space="preserve">Potraživanja za prihode poslovanja (AOP </w:t>
      </w:r>
      <w:r w:rsidR="0009370A" w:rsidRPr="008E6D5F">
        <w:rPr>
          <w:rFonts w:asciiTheme="minorHAnsi" w:hAnsiTheme="minorHAnsi" w:cs="Levenim MT"/>
          <w:b/>
          <w:szCs w:val="22"/>
          <w:lang w:val="hr-HR"/>
        </w:rPr>
        <w:t>140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 </w:t>
      </w:r>
      <w:r w:rsidR="008A5C5B" w:rsidRPr="008E6D5F">
        <w:rPr>
          <w:rFonts w:asciiTheme="minorHAnsi" w:hAnsiTheme="minorHAnsi" w:cs="Levenim MT"/>
          <w:szCs w:val="22"/>
          <w:lang w:val="hr-HR"/>
        </w:rPr>
        <w:t xml:space="preserve">na dan 31.12.2016. godine </w:t>
      </w:r>
      <w:r w:rsidRPr="008E6D5F">
        <w:rPr>
          <w:rFonts w:asciiTheme="minorHAnsi" w:hAnsiTheme="minorHAnsi" w:cs="Levenim MT"/>
          <w:szCs w:val="22"/>
          <w:lang w:val="hr-HR"/>
        </w:rPr>
        <w:t xml:space="preserve">iznose </w:t>
      </w:r>
      <w:r w:rsidR="008A5C5B" w:rsidRPr="008E6D5F">
        <w:rPr>
          <w:rFonts w:asciiTheme="minorHAnsi" w:hAnsiTheme="minorHAnsi" w:cs="Levenim MT"/>
          <w:szCs w:val="22"/>
          <w:lang w:val="hr-HR"/>
        </w:rPr>
        <w:t>16.596.404,64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 i </w:t>
      </w:r>
      <w:r w:rsidR="008A5C5B" w:rsidRPr="008E6D5F">
        <w:rPr>
          <w:rFonts w:asciiTheme="minorHAnsi" w:hAnsiTheme="minorHAnsi" w:cs="Levenim MT"/>
          <w:szCs w:val="22"/>
          <w:lang w:val="hr-HR"/>
        </w:rPr>
        <w:t xml:space="preserve">veća su </w:t>
      </w:r>
      <w:r w:rsidRPr="008E6D5F">
        <w:rPr>
          <w:rFonts w:asciiTheme="minorHAnsi" w:hAnsiTheme="minorHAnsi" w:cs="Levenim MT"/>
          <w:szCs w:val="22"/>
          <w:lang w:val="hr-HR"/>
        </w:rPr>
        <w:t xml:space="preserve">za </w:t>
      </w:r>
      <w:r w:rsidR="008A5C5B" w:rsidRPr="008E6D5F">
        <w:rPr>
          <w:rFonts w:asciiTheme="minorHAnsi" w:hAnsiTheme="minorHAnsi" w:cs="Levenim MT"/>
          <w:szCs w:val="22"/>
          <w:lang w:val="hr-HR"/>
        </w:rPr>
        <w:t>16,1</w:t>
      </w:r>
      <w:r w:rsidRPr="008E6D5F">
        <w:rPr>
          <w:rFonts w:asciiTheme="minorHAnsi" w:hAnsiTheme="minorHAnsi" w:cs="Levenim MT"/>
          <w:szCs w:val="22"/>
          <w:lang w:val="hr-HR"/>
        </w:rPr>
        <w:t xml:space="preserve"> % u odnosu na prethodno izvještajno razdoblje. </w:t>
      </w:r>
    </w:p>
    <w:p w:rsidR="00437C97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 xml:space="preserve">Od navedenog iznosa na </w:t>
      </w:r>
      <w:r w:rsidRPr="008E6D5F">
        <w:rPr>
          <w:rFonts w:asciiTheme="minorHAnsi" w:hAnsiTheme="minorHAnsi" w:cs="Levenim MT"/>
          <w:b/>
          <w:szCs w:val="22"/>
          <w:lang w:val="hr-HR"/>
        </w:rPr>
        <w:t>potraživanja za prihode od pruženih usluga (AOP 1</w:t>
      </w:r>
      <w:r w:rsidR="00236025" w:rsidRPr="008E6D5F">
        <w:rPr>
          <w:rFonts w:asciiTheme="minorHAnsi" w:hAnsiTheme="minorHAnsi" w:cs="Levenim MT"/>
          <w:b/>
          <w:szCs w:val="22"/>
          <w:lang w:val="hr-HR"/>
        </w:rPr>
        <w:t>53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 otpada </w:t>
      </w:r>
      <w:r w:rsidR="008A5C5B" w:rsidRPr="008E6D5F">
        <w:rPr>
          <w:rFonts w:asciiTheme="minorHAnsi" w:hAnsiTheme="minorHAnsi" w:cs="Levenim MT"/>
          <w:szCs w:val="22"/>
          <w:lang w:val="hr-HR"/>
        </w:rPr>
        <w:t>11.646.587,55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kn ili </w:t>
      </w:r>
      <w:r w:rsidR="008A5C5B" w:rsidRPr="008E6D5F">
        <w:rPr>
          <w:rFonts w:asciiTheme="minorHAnsi" w:hAnsiTheme="minorHAnsi" w:cs="Levenim MT"/>
          <w:szCs w:val="22"/>
          <w:lang w:val="hr-HR"/>
        </w:rPr>
        <w:t>70,18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% ukupnih potraživanja za prihode poslovanja.</w:t>
      </w:r>
      <w:r w:rsidRPr="008E6D5F">
        <w:rPr>
          <w:rFonts w:asciiTheme="minorHAnsi" w:hAnsiTheme="minorHAnsi" w:cs="Levenim MT"/>
          <w:szCs w:val="22"/>
          <w:lang w:val="hr-HR"/>
        </w:rPr>
        <w:t xml:space="preserve"> </w:t>
      </w:r>
    </w:p>
    <w:p w:rsidR="0033500F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>Potraživanja za prihode iz proračuna</w:t>
      </w:r>
      <w:r w:rsidR="00236025" w:rsidRPr="008E6D5F">
        <w:rPr>
          <w:rFonts w:asciiTheme="minorHAnsi" w:hAnsiTheme="minorHAnsi" w:cs="Levenim MT"/>
          <w:b/>
          <w:szCs w:val="22"/>
          <w:lang w:val="hr-HR"/>
        </w:rPr>
        <w:t xml:space="preserve"> (AOP 154)</w:t>
      </w:r>
      <w:r w:rsidRPr="008E6D5F">
        <w:rPr>
          <w:rFonts w:asciiTheme="minorHAnsi" w:hAnsiTheme="minorHAnsi" w:cs="Levenim MT"/>
          <w:szCs w:val="22"/>
          <w:lang w:val="hr-HR"/>
        </w:rPr>
        <w:t xml:space="preserve"> na dan 31.12.201</w:t>
      </w:r>
      <w:r w:rsidR="008A5C5B" w:rsidRPr="008E6D5F">
        <w:rPr>
          <w:rFonts w:asciiTheme="minorHAnsi" w:hAnsiTheme="minorHAnsi" w:cs="Levenim MT"/>
          <w:szCs w:val="22"/>
          <w:lang w:val="hr-HR"/>
        </w:rPr>
        <w:t>6</w:t>
      </w:r>
      <w:r w:rsidRPr="008E6D5F">
        <w:rPr>
          <w:rFonts w:asciiTheme="minorHAnsi" w:hAnsiTheme="minorHAnsi" w:cs="Levenim MT"/>
          <w:szCs w:val="22"/>
          <w:lang w:val="hr-HR"/>
        </w:rPr>
        <w:t xml:space="preserve">. godine iznose </w:t>
      </w:r>
      <w:r w:rsidR="00236025" w:rsidRPr="008E6D5F">
        <w:rPr>
          <w:rFonts w:asciiTheme="minorHAnsi" w:hAnsiTheme="minorHAnsi" w:cs="Levenim MT"/>
          <w:szCs w:val="22"/>
          <w:lang w:val="hr-HR"/>
        </w:rPr>
        <w:t>4</w:t>
      </w:r>
      <w:r w:rsidR="008A5C5B" w:rsidRPr="008E6D5F">
        <w:rPr>
          <w:rFonts w:asciiTheme="minorHAnsi" w:hAnsiTheme="minorHAnsi" w:cs="Levenim MT"/>
          <w:szCs w:val="22"/>
          <w:lang w:val="hr-HR"/>
        </w:rPr>
        <w:t>.902.177,24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kn ili </w:t>
      </w:r>
      <w:r w:rsidR="008A5C5B" w:rsidRPr="008E6D5F">
        <w:rPr>
          <w:rFonts w:asciiTheme="minorHAnsi" w:hAnsiTheme="minorHAnsi" w:cs="Levenim MT"/>
          <w:szCs w:val="22"/>
          <w:lang w:val="hr-HR"/>
        </w:rPr>
        <w:t>29,54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% ukupnih potraživanja za prihode poslovanja</w:t>
      </w:r>
      <w:r w:rsidRPr="008E6D5F">
        <w:rPr>
          <w:rFonts w:asciiTheme="minorHAnsi" w:hAnsiTheme="minorHAnsi" w:cs="Levenim MT"/>
          <w:szCs w:val="22"/>
          <w:lang w:val="hr-HR"/>
        </w:rPr>
        <w:t>.</w:t>
      </w:r>
      <w:r w:rsidR="00BC3DC2" w:rsidRPr="008E6D5F">
        <w:rPr>
          <w:rFonts w:asciiTheme="minorHAnsi" w:hAnsiTheme="minorHAnsi" w:cs="Levenim MT"/>
          <w:szCs w:val="22"/>
          <w:lang w:val="hr-HR"/>
        </w:rPr>
        <w:t xml:space="preserve"> </w:t>
      </w:r>
    </w:p>
    <w:p w:rsidR="009B680C" w:rsidRPr="008E6D5F" w:rsidRDefault="00BC3DC2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>Potraživanja od kupaca na dan 31.12.201</w:t>
      </w:r>
      <w:r w:rsidR="008A5C5B" w:rsidRPr="008E6D5F">
        <w:rPr>
          <w:rFonts w:asciiTheme="minorHAnsi" w:hAnsiTheme="minorHAnsi" w:cs="Levenim MT"/>
          <w:szCs w:val="22"/>
          <w:lang w:val="hr-HR"/>
        </w:rPr>
        <w:t>6</w:t>
      </w:r>
      <w:r w:rsidRPr="008E6D5F">
        <w:rPr>
          <w:rFonts w:asciiTheme="minorHAnsi" w:hAnsiTheme="minorHAnsi" w:cs="Levenim MT"/>
          <w:szCs w:val="22"/>
          <w:lang w:val="hr-HR"/>
        </w:rPr>
        <w:t xml:space="preserve">. </w:t>
      </w:r>
      <w:r w:rsidR="008A5C5B" w:rsidRPr="008E6D5F">
        <w:rPr>
          <w:rFonts w:asciiTheme="minorHAnsi" w:hAnsiTheme="minorHAnsi" w:cs="Levenim MT"/>
          <w:szCs w:val="22"/>
          <w:lang w:val="hr-HR"/>
        </w:rPr>
        <w:t xml:space="preserve">godine </w:t>
      </w:r>
      <w:r w:rsidRPr="008E6D5F">
        <w:rPr>
          <w:rFonts w:asciiTheme="minorHAnsi" w:hAnsiTheme="minorHAnsi" w:cs="Levenim MT"/>
          <w:szCs w:val="22"/>
          <w:lang w:val="hr-HR"/>
        </w:rPr>
        <w:t xml:space="preserve">iznose </w:t>
      </w:r>
      <w:r w:rsidR="00010BF4" w:rsidRPr="008E6D5F">
        <w:rPr>
          <w:rFonts w:asciiTheme="minorHAnsi" w:hAnsiTheme="minorHAnsi" w:cs="Levenim MT"/>
          <w:szCs w:val="22"/>
          <w:lang w:val="hr-HR"/>
        </w:rPr>
        <w:t>16.576.182,94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kn.</w:t>
      </w:r>
      <w:r w:rsidR="00F7224D" w:rsidRPr="008E6D5F">
        <w:rPr>
          <w:rFonts w:asciiTheme="minorHAnsi" w:hAnsiTheme="minorHAnsi" w:cs="Levenim MT"/>
          <w:szCs w:val="22"/>
          <w:lang w:val="hr-HR"/>
        </w:rPr>
        <w:t xml:space="preserve"> </w:t>
      </w:r>
      <w:r w:rsidRPr="008E6D5F">
        <w:rPr>
          <w:rFonts w:asciiTheme="minorHAnsi" w:hAnsiTheme="minorHAnsi" w:cs="Levenim MT"/>
          <w:szCs w:val="22"/>
          <w:lang w:val="hr-HR"/>
        </w:rPr>
        <w:t xml:space="preserve">Ukupno </w:t>
      </w:r>
      <w:r w:rsidRPr="008E6D5F">
        <w:rPr>
          <w:rFonts w:asciiTheme="minorHAnsi" w:hAnsiTheme="minorHAnsi" w:cs="Levenim MT"/>
          <w:b/>
          <w:szCs w:val="22"/>
          <w:lang w:val="hr-HR"/>
        </w:rPr>
        <w:t xml:space="preserve">dospjela potraživanja </w:t>
      </w:r>
      <w:r w:rsidR="00236025" w:rsidRPr="008E6D5F">
        <w:rPr>
          <w:rFonts w:asciiTheme="minorHAnsi" w:hAnsiTheme="minorHAnsi" w:cs="Levenim MT"/>
          <w:b/>
          <w:szCs w:val="22"/>
          <w:lang w:val="hr-HR"/>
        </w:rPr>
        <w:t>(AOP 249)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</w:t>
      </w:r>
      <w:r w:rsidRPr="008E6D5F">
        <w:rPr>
          <w:rFonts w:asciiTheme="minorHAnsi" w:hAnsiTheme="minorHAnsi" w:cs="Levenim MT"/>
          <w:szCs w:val="22"/>
          <w:lang w:val="hr-HR"/>
        </w:rPr>
        <w:t xml:space="preserve">u izvještajnom razdoblju iznose </w:t>
      </w:r>
      <w:r w:rsidR="00010BF4" w:rsidRPr="008E6D5F">
        <w:rPr>
          <w:rFonts w:asciiTheme="minorHAnsi" w:hAnsiTheme="minorHAnsi" w:cs="Levenim MT"/>
          <w:szCs w:val="22"/>
          <w:lang w:val="hr-HR"/>
        </w:rPr>
        <w:t>6.193.034,21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 ili </w:t>
      </w:r>
      <w:r w:rsidR="00236025" w:rsidRPr="008E6D5F">
        <w:rPr>
          <w:rFonts w:asciiTheme="minorHAnsi" w:hAnsiTheme="minorHAnsi" w:cs="Levenim MT"/>
          <w:szCs w:val="22"/>
          <w:lang w:val="hr-HR"/>
        </w:rPr>
        <w:t>37,</w:t>
      </w:r>
      <w:r w:rsidR="00010BF4" w:rsidRPr="008E6D5F">
        <w:rPr>
          <w:rFonts w:asciiTheme="minorHAnsi" w:hAnsiTheme="minorHAnsi" w:cs="Levenim MT"/>
          <w:szCs w:val="22"/>
          <w:lang w:val="hr-HR"/>
        </w:rPr>
        <w:t>32</w:t>
      </w:r>
      <w:r w:rsidRPr="008E6D5F">
        <w:rPr>
          <w:rFonts w:asciiTheme="minorHAnsi" w:hAnsiTheme="minorHAnsi" w:cs="Levenim MT"/>
          <w:szCs w:val="22"/>
          <w:lang w:val="hr-HR"/>
        </w:rPr>
        <w:t>% ukupnih potraživanja</w:t>
      </w:r>
      <w:r w:rsidR="00236025" w:rsidRPr="008E6D5F">
        <w:rPr>
          <w:rFonts w:asciiTheme="minorHAnsi" w:hAnsiTheme="minorHAnsi" w:cs="Levenim MT"/>
          <w:szCs w:val="22"/>
          <w:lang w:val="hr-HR"/>
        </w:rPr>
        <w:t xml:space="preserve"> za prihode poslovanja</w:t>
      </w:r>
      <w:r w:rsidRPr="008E6D5F">
        <w:rPr>
          <w:rFonts w:asciiTheme="minorHAnsi" w:hAnsiTheme="minorHAnsi" w:cs="Levenim MT"/>
          <w:szCs w:val="22"/>
          <w:lang w:val="hr-HR"/>
        </w:rPr>
        <w:t xml:space="preserve">. Od ukupnog iznosa potraživanja </w:t>
      </w:r>
      <w:r w:rsidR="00D46E09" w:rsidRPr="008E6D5F">
        <w:rPr>
          <w:rFonts w:asciiTheme="minorHAnsi" w:hAnsiTheme="minorHAnsi" w:cs="Levenim MT"/>
          <w:szCs w:val="22"/>
          <w:lang w:val="hr-HR"/>
        </w:rPr>
        <w:t xml:space="preserve">od kupaca </w:t>
      </w:r>
      <w:r w:rsidRPr="008E6D5F">
        <w:rPr>
          <w:rFonts w:asciiTheme="minorHAnsi" w:hAnsiTheme="minorHAnsi" w:cs="Levenim MT"/>
          <w:szCs w:val="22"/>
          <w:lang w:val="hr-HR"/>
        </w:rPr>
        <w:t>na nenaplaćena potraživanja nastala do 201</w:t>
      </w:r>
      <w:r w:rsidR="00010BF4" w:rsidRPr="008E6D5F">
        <w:rPr>
          <w:rFonts w:asciiTheme="minorHAnsi" w:hAnsiTheme="minorHAnsi" w:cs="Levenim MT"/>
          <w:szCs w:val="22"/>
          <w:lang w:val="hr-HR"/>
        </w:rPr>
        <w:t>6</w:t>
      </w:r>
      <w:r w:rsidRPr="008E6D5F">
        <w:rPr>
          <w:rFonts w:asciiTheme="minorHAnsi" w:hAnsiTheme="minorHAnsi" w:cs="Levenim MT"/>
          <w:szCs w:val="22"/>
          <w:lang w:val="hr-HR"/>
        </w:rPr>
        <w:t xml:space="preserve">. godine otpada iznos od </w:t>
      </w:r>
      <w:r w:rsidR="009B680C" w:rsidRPr="008E6D5F">
        <w:rPr>
          <w:rFonts w:asciiTheme="minorHAnsi" w:hAnsiTheme="minorHAnsi" w:cs="Levenim MT"/>
          <w:szCs w:val="22"/>
          <w:lang w:val="hr-HR"/>
        </w:rPr>
        <w:t>1.708.408</w:t>
      </w:r>
      <w:r w:rsidR="00D46E09" w:rsidRPr="008E6D5F">
        <w:rPr>
          <w:rFonts w:asciiTheme="minorHAnsi" w:hAnsiTheme="minorHAnsi" w:cs="Levenim MT"/>
          <w:szCs w:val="22"/>
          <w:lang w:val="hr-HR"/>
        </w:rPr>
        <w:t xml:space="preserve">,00 </w:t>
      </w:r>
      <w:r w:rsidRPr="008E6D5F">
        <w:rPr>
          <w:rFonts w:asciiTheme="minorHAnsi" w:hAnsiTheme="minorHAnsi" w:cs="Levenim MT"/>
          <w:szCs w:val="22"/>
          <w:lang w:val="hr-HR"/>
        </w:rPr>
        <w:t xml:space="preserve">kn (od toga je </w:t>
      </w:r>
      <w:r w:rsidR="009B680C" w:rsidRPr="008E6D5F">
        <w:rPr>
          <w:rFonts w:asciiTheme="minorHAnsi" w:hAnsiTheme="minorHAnsi" w:cs="Levenim MT"/>
          <w:szCs w:val="22"/>
          <w:lang w:val="hr-HR"/>
        </w:rPr>
        <w:t>1.527.474</w:t>
      </w:r>
      <w:r w:rsidRPr="008E6D5F">
        <w:rPr>
          <w:rFonts w:asciiTheme="minorHAnsi" w:hAnsiTheme="minorHAnsi" w:cs="Levenim MT"/>
          <w:szCs w:val="22"/>
          <w:lang w:val="hr-HR"/>
        </w:rPr>
        <w:t xml:space="preserve">,00 kn utuženo), dok se </w:t>
      </w:r>
      <w:r w:rsidR="004F0124" w:rsidRPr="008E6D5F">
        <w:rPr>
          <w:rFonts w:asciiTheme="minorHAnsi" w:hAnsiTheme="minorHAnsi" w:cs="Levenim MT"/>
          <w:szCs w:val="22"/>
          <w:lang w:val="hr-HR"/>
        </w:rPr>
        <w:t>iznos nenaplaćenih potraživanja</w:t>
      </w:r>
      <w:r w:rsidRPr="008E6D5F">
        <w:rPr>
          <w:rFonts w:asciiTheme="minorHAnsi" w:hAnsiTheme="minorHAnsi" w:cs="Levenim MT"/>
          <w:szCs w:val="22"/>
          <w:lang w:val="hr-HR"/>
        </w:rPr>
        <w:t xml:space="preserve"> od </w:t>
      </w:r>
      <w:r w:rsidR="009B680C" w:rsidRPr="008E6D5F">
        <w:rPr>
          <w:rFonts w:asciiTheme="minorHAnsi" w:hAnsiTheme="minorHAnsi" w:cs="Levenim MT"/>
          <w:szCs w:val="22"/>
          <w:lang w:val="hr-HR"/>
        </w:rPr>
        <w:t>14.867.795,</w:t>
      </w:r>
      <w:r w:rsidRPr="008E6D5F">
        <w:rPr>
          <w:rFonts w:asciiTheme="minorHAnsi" w:hAnsiTheme="minorHAnsi" w:cs="Levenim MT"/>
          <w:szCs w:val="22"/>
          <w:lang w:val="hr-HR"/>
        </w:rPr>
        <w:t>00 kn odnosi na nenapla</w:t>
      </w:r>
      <w:r w:rsidR="004F0124" w:rsidRPr="008E6D5F">
        <w:rPr>
          <w:rFonts w:asciiTheme="minorHAnsi" w:hAnsiTheme="minorHAnsi" w:cs="Levenim MT"/>
          <w:szCs w:val="22"/>
          <w:lang w:val="hr-HR"/>
        </w:rPr>
        <w:t>ćena potraživanja nastala u 201</w:t>
      </w:r>
      <w:r w:rsidR="009B680C" w:rsidRPr="008E6D5F">
        <w:rPr>
          <w:rFonts w:asciiTheme="minorHAnsi" w:hAnsiTheme="minorHAnsi" w:cs="Levenim MT"/>
          <w:szCs w:val="22"/>
          <w:lang w:val="hr-HR"/>
        </w:rPr>
        <w:t>6</w:t>
      </w:r>
      <w:r w:rsidRPr="008E6D5F">
        <w:rPr>
          <w:rFonts w:asciiTheme="minorHAnsi" w:hAnsiTheme="minorHAnsi" w:cs="Levenim MT"/>
          <w:szCs w:val="22"/>
          <w:lang w:val="hr-HR"/>
        </w:rPr>
        <w:t>. godini</w:t>
      </w:r>
      <w:r w:rsidR="004F0124" w:rsidRPr="008E6D5F">
        <w:rPr>
          <w:rFonts w:asciiTheme="minorHAnsi" w:hAnsiTheme="minorHAnsi" w:cs="Levenim MT"/>
          <w:szCs w:val="22"/>
          <w:lang w:val="hr-HR"/>
        </w:rPr>
        <w:t>.</w:t>
      </w:r>
      <w:r w:rsidR="00D46E09" w:rsidRPr="008E6D5F">
        <w:rPr>
          <w:rFonts w:asciiTheme="minorHAnsi" w:hAnsiTheme="minorHAnsi" w:cs="Levenim MT"/>
          <w:szCs w:val="22"/>
          <w:lang w:val="hr-HR"/>
        </w:rPr>
        <w:t xml:space="preserve"> </w:t>
      </w:r>
    </w:p>
    <w:p w:rsidR="00BC3DC2" w:rsidRPr="008E6D5F" w:rsidRDefault="00BC3DC2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lastRenderedPageBreak/>
        <w:t>Od ukupnog iznosa realiziranih potraživanja koja na dan 31.12.201</w:t>
      </w:r>
      <w:r w:rsidR="009B680C" w:rsidRPr="008E6D5F">
        <w:rPr>
          <w:rFonts w:asciiTheme="minorHAnsi" w:hAnsiTheme="minorHAnsi" w:cs="Levenim MT"/>
          <w:szCs w:val="22"/>
          <w:lang w:val="hr-HR"/>
        </w:rPr>
        <w:t>6</w:t>
      </w:r>
      <w:r w:rsidRPr="008E6D5F">
        <w:rPr>
          <w:rFonts w:asciiTheme="minorHAnsi" w:hAnsiTheme="minorHAnsi" w:cs="Levenim MT"/>
          <w:szCs w:val="22"/>
          <w:lang w:val="hr-HR"/>
        </w:rPr>
        <w:t xml:space="preserve">. godine iznose </w:t>
      </w:r>
      <w:r w:rsidR="009B680C" w:rsidRPr="008E6D5F">
        <w:rPr>
          <w:rFonts w:asciiTheme="minorHAnsi" w:hAnsiTheme="minorHAnsi" w:cs="Levenim MT"/>
          <w:szCs w:val="22"/>
          <w:lang w:val="hr-HR"/>
        </w:rPr>
        <w:t>105.902.996</w:t>
      </w:r>
      <w:r w:rsidR="004F0124" w:rsidRPr="008E6D5F">
        <w:rPr>
          <w:rFonts w:asciiTheme="minorHAnsi" w:hAnsiTheme="minorHAnsi" w:cs="Levenim MT"/>
          <w:szCs w:val="22"/>
          <w:lang w:val="hr-HR"/>
        </w:rPr>
        <w:t>,00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kn, naplaćeno je </w:t>
      </w:r>
      <w:r w:rsidR="009B680C" w:rsidRPr="008E6D5F">
        <w:rPr>
          <w:rFonts w:asciiTheme="minorHAnsi" w:hAnsiTheme="minorHAnsi" w:cs="Levenim MT"/>
          <w:szCs w:val="22"/>
          <w:lang w:val="hr-HR"/>
        </w:rPr>
        <w:t>88.961.425</w:t>
      </w:r>
      <w:r w:rsidR="004F0124" w:rsidRPr="008E6D5F">
        <w:rPr>
          <w:rFonts w:asciiTheme="minorHAnsi" w:hAnsiTheme="minorHAnsi" w:cs="Levenim MT"/>
          <w:szCs w:val="22"/>
          <w:lang w:val="hr-HR"/>
        </w:rPr>
        <w:t>,</w:t>
      </w:r>
      <w:r w:rsidRPr="008E6D5F">
        <w:rPr>
          <w:rFonts w:asciiTheme="minorHAnsi" w:hAnsiTheme="minorHAnsi" w:cs="Levenim MT"/>
          <w:szCs w:val="22"/>
          <w:lang w:val="hr-HR"/>
        </w:rPr>
        <w:t xml:space="preserve">00 kn ili </w:t>
      </w:r>
      <w:r w:rsidR="009B680C" w:rsidRPr="008E6D5F">
        <w:rPr>
          <w:rFonts w:asciiTheme="minorHAnsi" w:hAnsiTheme="minorHAnsi" w:cs="Levenim MT"/>
          <w:szCs w:val="22"/>
          <w:lang w:val="hr-HR"/>
        </w:rPr>
        <w:t>84,0</w:t>
      </w:r>
      <w:r w:rsidRPr="008E6D5F">
        <w:rPr>
          <w:rFonts w:asciiTheme="minorHAnsi" w:hAnsiTheme="minorHAnsi" w:cs="Levenim MT"/>
          <w:szCs w:val="22"/>
          <w:lang w:val="hr-HR"/>
        </w:rPr>
        <w:t xml:space="preserve">%, otpisano je </w:t>
      </w:r>
      <w:r w:rsidR="009B680C" w:rsidRPr="008E6D5F">
        <w:rPr>
          <w:rFonts w:asciiTheme="minorHAnsi" w:hAnsiTheme="minorHAnsi" w:cs="Levenim MT"/>
          <w:szCs w:val="22"/>
          <w:lang w:val="hr-HR"/>
        </w:rPr>
        <w:t>365.388</w:t>
      </w:r>
      <w:r w:rsidRPr="008E6D5F">
        <w:rPr>
          <w:rFonts w:asciiTheme="minorHAnsi" w:hAnsiTheme="minorHAnsi" w:cs="Levenim MT"/>
          <w:szCs w:val="22"/>
          <w:lang w:val="hr-HR"/>
        </w:rPr>
        <w:t xml:space="preserve">,00 kn ili </w:t>
      </w:r>
      <w:r w:rsidR="009B680C" w:rsidRPr="008E6D5F">
        <w:rPr>
          <w:rFonts w:asciiTheme="minorHAnsi" w:hAnsiTheme="minorHAnsi" w:cs="Levenim MT"/>
          <w:szCs w:val="22"/>
          <w:lang w:val="hr-HR"/>
        </w:rPr>
        <w:t>0,35</w:t>
      </w:r>
      <w:r w:rsidRPr="008E6D5F">
        <w:rPr>
          <w:rFonts w:asciiTheme="minorHAnsi" w:hAnsiTheme="minorHAnsi" w:cs="Levenim MT"/>
          <w:szCs w:val="22"/>
          <w:lang w:val="hr-HR"/>
        </w:rPr>
        <w:t xml:space="preserve">%, dok nenaplaćena potraživanja iznose </w:t>
      </w:r>
      <w:r w:rsidR="009B680C" w:rsidRPr="008E6D5F">
        <w:rPr>
          <w:rFonts w:asciiTheme="minorHAnsi" w:hAnsiTheme="minorHAnsi" w:cs="Levenim MT"/>
          <w:szCs w:val="22"/>
          <w:lang w:val="hr-HR"/>
        </w:rPr>
        <w:t>16.576.183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 ili </w:t>
      </w:r>
      <w:r w:rsidR="009B680C" w:rsidRPr="008E6D5F">
        <w:rPr>
          <w:rFonts w:asciiTheme="minorHAnsi" w:hAnsiTheme="minorHAnsi" w:cs="Levenim MT"/>
          <w:szCs w:val="22"/>
          <w:lang w:val="hr-HR"/>
        </w:rPr>
        <w:t>15,65</w:t>
      </w:r>
      <w:r w:rsidRPr="008E6D5F">
        <w:rPr>
          <w:rFonts w:asciiTheme="minorHAnsi" w:hAnsiTheme="minorHAnsi" w:cs="Levenim MT"/>
          <w:szCs w:val="22"/>
          <w:lang w:val="hr-HR"/>
        </w:rPr>
        <w:t>%</w:t>
      </w:r>
      <w:r w:rsidR="00F7224D" w:rsidRPr="008E6D5F">
        <w:rPr>
          <w:rFonts w:asciiTheme="minorHAnsi" w:hAnsiTheme="minorHAnsi" w:cs="Levenim MT"/>
          <w:szCs w:val="22"/>
          <w:lang w:val="hr-HR"/>
        </w:rPr>
        <w:t xml:space="preserve"> (prikazano u tabeli Potraživanja od kupaca – pregled nastalih i naplaćenih potraživanja prema grupama kupaca)</w:t>
      </w:r>
      <w:r w:rsidRPr="008E6D5F">
        <w:rPr>
          <w:rFonts w:asciiTheme="minorHAnsi" w:hAnsiTheme="minorHAnsi" w:cs="Levenim MT"/>
          <w:szCs w:val="22"/>
          <w:lang w:val="hr-HR"/>
        </w:rPr>
        <w:t>.</w:t>
      </w:r>
    </w:p>
    <w:p w:rsidR="00786DCB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 xml:space="preserve">Na </w:t>
      </w:r>
      <w:r w:rsidRPr="008E6D5F">
        <w:rPr>
          <w:rFonts w:asciiTheme="minorHAnsi" w:hAnsiTheme="minorHAnsi" w:cs="Levenim MT"/>
          <w:b/>
          <w:szCs w:val="22"/>
          <w:lang w:val="hr-HR"/>
        </w:rPr>
        <w:t xml:space="preserve">AOP </w:t>
      </w:r>
      <w:r w:rsidR="00F541A3" w:rsidRPr="008E6D5F">
        <w:rPr>
          <w:rFonts w:asciiTheme="minorHAnsi" w:hAnsiTheme="minorHAnsi" w:cs="Levenim MT"/>
          <w:b/>
          <w:szCs w:val="22"/>
          <w:lang w:val="hr-HR"/>
        </w:rPr>
        <w:t>151</w:t>
      </w:r>
      <w:r w:rsidRPr="008E6D5F">
        <w:rPr>
          <w:rFonts w:asciiTheme="minorHAnsi" w:hAnsiTheme="minorHAnsi" w:cs="Levenim MT"/>
          <w:b/>
          <w:szCs w:val="22"/>
          <w:lang w:val="hr-HR"/>
        </w:rPr>
        <w:t xml:space="preserve"> i </w:t>
      </w:r>
      <w:r w:rsidR="00F541A3" w:rsidRPr="008E6D5F">
        <w:rPr>
          <w:rFonts w:asciiTheme="minorHAnsi" w:hAnsiTheme="minorHAnsi" w:cs="Levenim MT"/>
          <w:b/>
          <w:szCs w:val="22"/>
          <w:lang w:val="hr-HR"/>
        </w:rPr>
        <w:t>156</w:t>
      </w:r>
      <w:r w:rsidRPr="008E6D5F">
        <w:rPr>
          <w:rFonts w:asciiTheme="minorHAnsi" w:hAnsiTheme="minorHAnsi" w:cs="Levenim MT"/>
          <w:szCs w:val="22"/>
          <w:lang w:val="hr-HR"/>
        </w:rPr>
        <w:t xml:space="preserve"> iskazano je potraživanje za novčana sredstva koja su 1998. godine blokirana na računu kod Komercijalne banke. </w:t>
      </w:r>
    </w:p>
    <w:p w:rsidR="0033500F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caps/>
          <w:szCs w:val="22"/>
          <w:lang w:val="hr-HR"/>
        </w:rPr>
        <w:t>O</w:t>
      </w:r>
      <w:r w:rsidRPr="008E6D5F">
        <w:rPr>
          <w:rFonts w:asciiTheme="minorHAnsi" w:hAnsiTheme="minorHAnsi" w:cs="Levenim MT"/>
          <w:b/>
          <w:szCs w:val="22"/>
          <w:lang w:val="hr-HR"/>
        </w:rPr>
        <w:t>bveze (AOP 1</w:t>
      </w:r>
      <w:r w:rsidR="004F0124" w:rsidRPr="008E6D5F">
        <w:rPr>
          <w:rFonts w:asciiTheme="minorHAnsi" w:hAnsiTheme="minorHAnsi" w:cs="Levenim MT"/>
          <w:b/>
          <w:szCs w:val="22"/>
          <w:lang w:val="hr-HR"/>
        </w:rPr>
        <w:t>63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 čine </w:t>
      </w:r>
      <w:r w:rsidR="007E1A88" w:rsidRPr="008E6D5F">
        <w:rPr>
          <w:rFonts w:asciiTheme="minorHAnsi" w:hAnsiTheme="minorHAnsi" w:cs="Levenim MT"/>
          <w:szCs w:val="22"/>
          <w:lang w:val="hr-HR"/>
        </w:rPr>
        <w:t>9,78</w:t>
      </w:r>
      <w:r w:rsidR="004F0124" w:rsidRPr="008E6D5F">
        <w:rPr>
          <w:rFonts w:asciiTheme="minorHAnsi" w:hAnsiTheme="minorHAnsi" w:cs="Levenim MT"/>
          <w:szCs w:val="22"/>
          <w:lang w:val="hr-HR"/>
        </w:rPr>
        <w:t xml:space="preserve"> </w:t>
      </w:r>
      <w:r w:rsidRPr="008E6D5F">
        <w:rPr>
          <w:rFonts w:asciiTheme="minorHAnsi" w:hAnsiTheme="minorHAnsi" w:cs="Levenim MT"/>
          <w:szCs w:val="22"/>
          <w:lang w:val="hr-HR"/>
        </w:rPr>
        <w:t>% izvora imovine</w:t>
      </w:r>
      <w:r w:rsidR="0033500F" w:rsidRPr="008E6D5F">
        <w:rPr>
          <w:rFonts w:asciiTheme="minorHAnsi" w:hAnsiTheme="minorHAnsi" w:cs="Levenim MT"/>
          <w:szCs w:val="22"/>
          <w:lang w:val="hr-HR"/>
        </w:rPr>
        <w:t xml:space="preserve"> i</w:t>
      </w:r>
      <w:r w:rsidRPr="008E6D5F">
        <w:rPr>
          <w:rFonts w:asciiTheme="minorHAnsi" w:hAnsiTheme="minorHAnsi" w:cs="Levenim MT"/>
          <w:szCs w:val="22"/>
          <w:lang w:val="hr-HR"/>
        </w:rPr>
        <w:t xml:space="preserve"> iznose </w:t>
      </w:r>
      <w:r w:rsidR="007E1A88" w:rsidRPr="008E6D5F">
        <w:rPr>
          <w:rFonts w:asciiTheme="minorHAnsi" w:hAnsiTheme="minorHAnsi" w:cs="Levenim MT"/>
          <w:szCs w:val="22"/>
          <w:lang w:val="hr-HR"/>
        </w:rPr>
        <w:t>9.849.029,73 kn. Na dan 31.12.2016</w:t>
      </w:r>
      <w:r w:rsidR="004F0124" w:rsidRPr="008E6D5F">
        <w:rPr>
          <w:rFonts w:asciiTheme="minorHAnsi" w:hAnsiTheme="minorHAnsi" w:cs="Levenim MT"/>
          <w:szCs w:val="22"/>
          <w:lang w:val="hr-HR"/>
        </w:rPr>
        <w:t xml:space="preserve"> evidentirano je ukupno </w:t>
      </w:r>
      <w:r w:rsidR="007E1A88" w:rsidRPr="008E6D5F">
        <w:rPr>
          <w:rFonts w:asciiTheme="minorHAnsi" w:hAnsiTheme="minorHAnsi" w:cs="Levenim MT"/>
          <w:szCs w:val="22"/>
          <w:lang w:val="hr-HR"/>
        </w:rPr>
        <w:t>601.187</w:t>
      </w:r>
      <w:r w:rsidR="004F0124" w:rsidRPr="008E6D5F">
        <w:rPr>
          <w:rFonts w:asciiTheme="minorHAnsi" w:hAnsiTheme="minorHAnsi" w:cs="Levenim MT"/>
          <w:szCs w:val="22"/>
          <w:lang w:val="hr-HR"/>
        </w:rPr>
        <w:t>,</w:t>
      </w:r>
      <w:r w:rsidR="007E1A88" w:rsidRPr="008E6D5F">
        <w:rPr>
          <w:rFonts w:asciiTheme="minorHAnsi" w:hAnsiTheme="minorHAnsi" w:cs="Levenim MT"/>
          <w:szCs w:val="22"/>
          <w:lang w:val="hr-HR"/>
        </w:rPr>
        <w:t>11</w:t>
      </w:r>
      <w:r w:rsidR="004F0124" w:rsidRPr="008E6D5F">
        <w:rPr>
          <w:rFonts w:asciiTheme="minorHAnsi" w:hAnsiTheme="minorHAnsi" w:cs="Levenim MT"/>
          <w:szCs w:val="22"/>
          <w:lang w:val="hr-HR"/>
        </w:rPr>
        <w:t xml:space="preserve"> kn dospjelih obveza.</w:t>
      </w:r>
    </w:p>
    <w:p w:rsidR="00786DCB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>Vlastiti izvori</w:t>
      </w:r>
      <w:r w:rsidRPr="008E6D5F">
        <w:rPr>
          <w:rFonts w:asciiTheme="minorHAnsi" w:hAnsiTheme="minorHAnsi" w:cs="Levenim MT"/>
          <w:b/>
          <w:caps/>
          <w:szCs w:val="22"/>
          <w:lang w:val="hr-HR"/>
        </w:rPr>
        <w:t xml:space="preserve"> </w:t>
      </w:r>
      <w:r w:rsidRPr="008E6D5F">
        <w:rPr>
          <w:rFonts w:asciiTheme="minorHAnsi" w:hAnsiTheme="minorHAnsi" w:cs="Levenim MT"/>
          <w:b/>
          <w:szCs w:val="22"/>
          <w:lang w:val="hr-HR"/>
        </w:rPr>
        <w:t>(AOP 2</w:t>
      </w:r>
      <w:r w:rsidR="000A016A" w:rsidRPr="008E6D5F">
        <w:rPr>
          <w:rFonts w:asciiTheme="minorHAnsi" w:hAnsiTheme="minorHAnsi" w:cs="Levenim MT"/>
          <w:b/>
          <w:szCs w:val="22"/>
          <w:lang w:val="hr-HR"/>
        </w:rPr>
        <w:t>25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 iznose </w:t>
      </w:r>
      <w:r w:rsidR="007E1A88" w:rsidRPr="008E6D5F">
        <w:rPr>
          <w:rFonts w:asciiTheme="minorHAnsi" w:hAnsiTheme="minorHAnsi" w:cs="Levenim MT"/>
          <w:szCs w:val="22"/>
          <w:lang w:val="hr-HR"/>
        </w:rPr>
        <w:t>90.822.972,99</w:t>
      </w:r>
      <w:r w:rsidRPr="008E6D5F">
        <w:rPr>
          <w:rFonts w:asciiTheme="minorHAnsi" w:hAnsiTheme="minorHAnsi" w:cs="Levenim MT"/>
          <w:szCs w:val="22"/>
          <w:lang w:val="hr-HR"/>
        </w:rPr>
        <w:t xml:space="preserve"> kn.</w:t>
      </w:r>
    </w:p>
    <w:p w:rsidR="000A016A" w:rsidRPr="008E6D5F" w:rsidRDefault="00786DCB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 xml:space="preserve">Višak / manjak prihoda (AOP </w:t>
      </w:r>
      <w:r w:rsidR="000A016A" w:rsidRPr="008E6D5F">
        <w:rPr>
          <w:rFonts w:asciiTheme="minorHAnsi" w:hAnsiTheme="minorHAnsi" w:cs="Levenim MT"/>
          <w:b/>
          <w:szCs w:val="22"/>
          <w:lang w:val="hr-HR"/>
        </w:rPr>
        <w:t>233-240</w:t>
      </w:r>
      <w:r w:rsidRPr="008E6D5F">
        <w:rPr>
          <w:rFonts w:asciiTheme="minorHAnsi" w:hAnsiTheme="minorHAnsi" w:cs="Levenim MT"/>
          <w:b/>
          <w:szCs w:val="22"/>
          <w:lang w:val="hr-HR"/>
        </w:rPr>
        <w:t>)</w:t>
      </w:r>
      <w:r w:rsidRPr="008E6D5F">
        <w:rPr>
          <w:rFonts w:asciiTheme="minorHAnsi" w:hAnsiTheme="minorHAnsi" w:cs="Levenim MT"/>
          <w:szCs w:val="22"/>
          <w:lang w:val="hr-HR"/>
        </w:rPr>
        <w:t xml:space="preserve">; </w:t>
      </w:r>
      <w:r w:rsidR="007E1A88" w:rsidRPr="008E6D5F">
        <w:rPr>
          <w:rFonts w:asciiTheme="minorHAnsi" w:hAnsiTheme="minorHAnsi" w:cs="Levenim MT"/>
          <w:szCs w:val="22"/>
          <w:lang w:val="hr-HR"/>
        </w:rPr>
        <w:t xml:space="preserve">u </w:t>
      </w:r>
      <w:r w:rsidR="000A016A" w:rsidRPr="008E6D5F">
        <w:rPr>
          <w:rFonts w:asciiTheme="minorHAnsi" w:hAnsiTheme="minorHAnsi" w:cs="Levenim MT"/>
          <w:szCs w:val="22"/>
          <w:lang w:val="hr-HR"/>
        </w:rPr>
        <w:t>201</w:t>
      </w:r>
      <w:r w:rsidR="007E1A88" w:rsidRPr="008E6D5F">
        <w:rPr>
          <w:rFonts w:asciiTheme="minorHAnsi" w:hAnsiTheme="minorHAnsi" w:cs="Levenim MT"/>
          <w:szCs w:val="22"/>
          <w:lang w:val="hr-HR"/>
        </w:rPr>
        <w:t>6</w:t>
      </w:r>
      <w:r w:rsidR="000A016A" w:rsidRPr="008E6D5F">
        <w:rPr>
          <w:rFonts w:asciiTheme="minorHAnsi" w:hAnsiTheme="minorHAnsi" w:cs="Levenim MT"/>
          <w:szCs w:val="22"/>
          <w:lang w:val="hr-HR"/>
        </w:rPr>
        <w:t>. godini Upravno vijeće Zavoda donijelo je Odluku o rasporedu viška prihoda iz 201</w:t>
      </w:r>
      <w:r w:rsidR="007E1A88" w:rsidRPr="008E6D5F">
        <w:rPr>
          <w:rFonts w:asciiTheme="minorHAnsi" w:hAnsiTheme="minorHAnsi" w:cs="Levenim MT"/>
          <w:szCs w:val="22"/>
          <w:lang w:val="hr-HR"/>
        </w:rPr>
        <w:t>5</w:t>
      </w:r>
      <w:r w:rsidR="000A016A" w:rsidRPr="008E6D5F">
        <w:rPr>
          <w:rFonts w:asciiTheme="minorHAnsi" w:hAnsiTheme="minorHAnsi" w:cs="Levenim MT"/>
          <w:szCs w:val="22"/>
          <w:lang w:val="hr-HR"/>
        </w:rPr>
        <w:t>. godine.</w:t>
      </w:r>
    </w:p>
    <w:p w:rsidR="007E1A88" w:rsidRPr="008E6D5F" w:rsidRDefault="007E1A88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 xml:space="preserve">Odlukom o rasporedu rezultata Nastavnog zavoda za javno zdravstvo „Dr. Andrija Štampar” u 2015. godini manjak prihoda poslovanja u iznosu od 297.014,56 kn i manjak prihoda od nefinancijske imovine u iznosu 3.579.593,54 kn pokrivaju se u cijelosti iz akumuliranog viška prihoda poslovanja. Višak primitaka od financijske imovine u iznosu 14.121.159,65 kn uvećava akumulirani iznos viška prihoda. </w:t>
      </w:r>
    </w:p>
    <w:p w:rsidR="00F7224D" w:rsidRPr="008E6D5F" w:rsidRDefault="007E1A88" w:rsidP="0038360F">
      <w:pPr>
        <w:spacing w:before="120" w:after="80" w:line="288" w:lineRule="auto"/>
        <w:jc w:val="both"/>
        <w:rPr>
          <w:rFonts w:eastAsia="Times New Roman" w:cs="Microsoft Sans Serif"/>
          <w:bCs/>
          <w:lang w:eastAsia="hr-HR"/>
        </w:rPr>
      </w:pPr>
      <w:r w:rsidRPr="008E6D5F">
        <w:rPr>
          <w:rFonts w:cs="Microsoft Sans Serif"/>
          <w:lang w:val="pl-PL"/>
        </w:rPr>
        <w:t xml:space="preserve">U 2016 </w:t>
      </w:r>
      <w:r w:rsidR="000A016A" w:rsidRPr="008E6D5F">
        <w:rPr>
          <w:rFonts w:cs="Microsoft Sans Serif"/>
          <w:lang w:val="pl-PL"/>
        </w:rPr>
        <w:t xml:space="preserve">godini </w:t>
      </w:r>
      <w:r w:rsidR="00397BBF" w:rsidRPr="008E6D5F">
        <w:rPr>
          <w:rFonts w:cs="Microsoft Sans Serif"/>
          <w:lang w:val="pl-PL"/>
        </w:rPr>
        <w:t xml:space="preserve">ostvaren je </w:t>
      </w:r>
      <w:r w:rsidRPr="008E6D5F">
        <w:rPr>
          <w:rFonts w:cs="Microsoft Sans Serif"/>
          <w:lang w:val="pl-PL"/>
        </w:rPr>
        <w:t xml:space="preserve">višak </w:t>
      </w:r>
      <w:r w:rsidR="00397BBF" w:rsidRPr="008E6D5F">
        <w:rPr>
          <w:rFonts w:eastAsia="Calibri" w:cs="Microsoft Sans Serif"/>
        </w:rPr>
        <w:t xml:space="preserve">prihoda poslovanja u iznosu </w:t>
      </w:r>
      <w:r w:rsidRPr="008E6D5F">
        <w:rPr>
          <w:rFonts w:eastAsia="Calibri" w:cs="Microsoft Sans Serif"/>
        </w:rPr>
        <w:t>2.835.204,50</w:t>
      </w:r>
      <w:r w:rsidR="00532BF2" w:rsidRPr="008E6D5F">
        <w:rPr>
          <w:rFonts w:eastAsia="Calibri" w:cs="Microsoft Sans Serif"/>
        </w:rPr>
        <w:t xml:space="preserve"> kn</w:t>
      </w:r>
      <w:r w:rsidR="00397BBF" w:rsidRPr="008E6D5F">
        <w:rPr>
          <w:rFonts w:eastAsia="Calibri" w:cs="Microsoft Sans Serif"/>
        </w:rPr>
        <w:t xml:space="preserve">, manjak </w:t>
      </w:r>
      <w:r w:rsidR="00532BF2" w:rsidRPr="008E6D5F">
        <w:rPr>
          <w:rFonts w:eastAsia="Calibri" w:cs="Microsoft Sans Serif"/>
        </w:rPr>
        <w:t xml:space="preserve">prihoda od nefinancijske imovine u iznosu </w:t>
      </w:r>
      <w:r w:rsidRPr="008E6D5F">
        <w:rPr>
          <w:rFonts w:eastAsia="Calibri" w:cs="Microsoft Sans Serif"/>
        </w:rPr>
        <w:t>2.659.382,18</w:t>
      </w:r>
      <w:r w:rsidR="00532BF2" w:rsidRPr="008E6D5F">
        <w:rPr>
          <w:rFonts w:eastAsia="Calibri" w:cs="Microsoft Sans Serif"/>
        </w:rPr>
        <w:t xml:space="preserve"> kn i višak primitaka od financijske imovine u iznosu </w:t>
      </w:r>
      <w:r w:rsidRPr="008E6D5F">
        <w:rPr>
          <w:rFonts w:eastAsia="Times New Roman" w:cs="Microsoft Sans Serif"/>
          <w:bCs/>
          <w:lang w:eastAsia="hr-HR"/>
        </w:rPr>
        <w:t>44.500,00</w:t>
      </w:r>
      <w:r w:rsidR="00532BF2" w:rsidRPr="008E6D5F">
        <w:rPr>
          <w:rFonts w:eastAsia="Times New Roman" w:cs="Microsoft Sans Serif"/>
          <w:bCs/>
          <w:lang w:eastAsia="hr-HR"/>
        </w:rPr>
        <w:t xml:space="preserve"> kn. </w:t>
      </w:r>
      <w:r w:rsidRPr="008E6D5F">
        <w:rPr>
          <w:rFonts w:eastAsia="Times New Roman" w:cs="Microsoft Sans Serif"/>
          <w:bCs/>
          <w:lang w:eastAsia="hr-HR"/>
        </w:rPr>
        <w:t xml:space="preserve">Korekcija ostvarenog rezultata za kapitalni prijenos iznosi 1.334.492,06 kn. U 2016. godini Zavod je ostvario prihod od kapitalnih pomoći proračunskim korisnicima iz proračuna koji im nije nadležan (6362) u iznosu 590.242,06 kn i prihod iz nadležnog proračuna za financiranje rashoda za nabavu nefinancijske imovine (6712) u iznosu 744.250,00 kn. </w:t>
      </w:r>
      <w:r w:rsidR="00F7224D" w:rsidRPr="008E6D5F">
        <w:rPr>
          <w:rFonts w:eastAsia="Times New Roman" w:cs="Microsoft Sans Serif"/>
          <w:bCs/>
          <w:lang w:eastAsia="hr-HR"/>
        </w:rPr>
        <w:t>Nakon korekcije za kapitalni prijenos višak prihoda poslovanja iznosi 1.500.712,44 kn, dok manjak prihoda od nefinancijske imovine iznosi 1.325.890,12 kn.</w:t>
      </w:r>
    </w:p>
    <w:p w:rsidR="00F7224D" w:rsidRPr="008E6D5F" w:rsidRDefault="00F7224D" w:rsidP="0038360F">
      <w:pPr>
        <w:pStyle w:val="HeaderBase"/>
        <w:spacing w:before="120" w:after="80" w:line="288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>Ukupno raspoloživi iznos viška prihoda poslovanja na dan 31.12.2016. iznosi 16.083.654,50 kn</w:t>
      </w:r>
    </w:p>
    <w:p w:rsidR="00786DCB" w:rsidRPr="008E6D5F" w:rsidRDefault="00786DCB" w:rsidP="00D75E68">
      <w:pPr>
        <w:pStyle w:val="HeaderBase"/>
        <w:shd w:val="clear" w:color="auto" w:fill="D9E2F3"/>
        <w:spacing w:before="480" w:after="240" w:line="288" w:lineRule="auto"/>
        <w:ind w:firstLine="0"/>
        <w:rPr>
          <w:rFonts w:asciiTheme="minorHAnsi" w:hAnsiTheme="minorHAnsi" w:cs="Levenim MT"/>
          <w:b/>
          <w:caps/>
          <w:szCs w:val="22"/>
          <w:lang w:val="hr-HR"/>
        </w:rPr>
      </w:pPr>
      <w:r w:rsidRPr="008E6D5F">
        <w:rPr>
          <w:rFonts w:asciiTheme="minorHAnsi" w:hAnsiTheme="minorHAnsi" w:cs="Levenim MT"/>
          <w:b/>
          <w:caps/>
          <w:szCs w:val="22"/>
          <w:lang w:val="hr-HR"/>
        </w:rPr>
        <w:t xml:space="preserve">Izvještaj o prihodima i rashodima, primicima i izdacima - </w:t>
      </w:r>
      <w:r w:rsidRPr="008E6D5F">
        <w:rPr>
          <w:rFonts w:asciiTheme="minorHAnsi" w:hAnsiTheme="minorHAnsi" w:cs="Levenim MT"/>
          <w:b/>
          <w:szCs w:val="22"/>
          <w:lang w:val="hr-HR"/>
        </w:rPr>
        <w:t xml:space="preserve">Obrazac </w:t>
      </w:r>
      <w:r w:rsidRPr="008E6D5F">
        <w:rPr>
          <w:rFonts w:asciiTheme="minorHAnsi" w:hAnsiTheme="minorHAnsi" w:cs="Levenim MT"/>
          <w:b/>
          <w:caps/>
          <w:szCs w:val="22"/>
          <w:lang w:val="hr-HR"/>
        </w:rPr>
        <w:t>PR-RAS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 xml:space="preserve">Prihodi poslovanja (AOP 001) </w:t>
      </w:r>
      <w:r w:rsidRPr="008E6D5F">
        <w:rPr>
          <w:rFonts w:cs="Microsoft Sans Serif"/>
        </w:rPr>
        <w:t>u izvještajnom razdoblju iznose 90.462.794,00 kn i ostvareni su s 94,18% u odnosu na godišnji plan prihoda poslovanja Zavoda te su za 5,39% veći u odnosu na prihode ostvarene u istom razdoblju prethodne godine.</w:t>
      </w:r>
    </w:p>
    <w:p w:rsidR="00F7224D" w:rsidRPr="008E6D5F" w:rsidRDefault="00793BFF" w:rsidP="0038360F">
      <w:pPr>
        <w:spacing w:before="120" w:after="80" w:line="288" w:lineRule="auto"/>
        <w:jc w:val="both"/>
        <w:rPr>
          <w:rFonts w:eastAsia="Times New Roman"/>
          <w:b/>
          <w:bCs/>
          <w:lang w:eastAsia="hr-HR"/>
        </w:rPr>
      </w:pPr>
      <w:r w:rsidRPr="008E6D5F">
        <w:rPr>
          <w:rFonts w:eastAsia="Times New Roman"/>
          <w:b/>
          <w:bCs/>
          <w:lang w:eastAsia="hr-HR"/>
        </w:rPr>
        <w:t>Tekuće p</w:t>
      </w:r>
      <w:r w:rsidR="00F7224D" w:rsidRPr="008E6D5F">
        <w:rPr>
          <w:rFonts w:eastAsia="Times New Roman"/>
          <w:b/>
          <w:bCs/>
          <w:lang w:eastAsia="hr-HR"/>
        </w:rPr>
        <w:t>omoći od izvanproračunskih korisnika</w:t>
      </w:r>
      <w:r w:rsidRPr="008E6D5F">
        <w:rPr>
          <w:rFonts w:eastAsia="Times New Roman"/>
          <w:b/>
          <w:bCs/>
          <w:lang w:eastAsia="hr-HR"/>
        </w:rPr>
        <w:t xml:space="preserve"> (AOP 060) </w:t>
      </w:r>
      <w:r w:rsidR="00F7224D" w:rsidRPr="008E6D5F">
        <w:rPr>
          <w:rFonts w:cs="Microsoft Sans Serif"/>
        </w:rPr>
        <w:t>u izvještajnom razdoblju iznose 445.413,97 kn, a odnose se na financiranje pripravničkog staža zdravstvenih radnika od strane Hrvatskog zavoda za zdravstveno osiguranje u iznosu 163.557,25 kn i uplatu Hrvatskog zavoda za zapošljavanje koja se odnosi na plaćanje doprinosa mirovinskog i zdravstvenog osiguranja za mjeru stručnog osposobljavanja za rad bez zasnivanja radnog odnosa u iznosu 281.856,72 kn za polaznike koji su s osposobljavanjem počeli u 2016. godini.</w:t>
      </w:r>
    </w:p>
    <w:p w:rsidR="00D75E68" w:rsidRPr="008E6D5F" w:rsidRDefault="00D75E68" w:rsidP="0038360F">
      <w:pPr>
        <w:spacing w:before="120" w:after="80" w:line="288" w:lineRule="auto"/>
        <w:jc w:val="both"/>
        <w:rPr>
          <w:rFonts w:eastAsia="Times New Roman"/>
          <w:b/>
          <w:bCs/>
          <w:lang w:eastAsia="hr-HR"/>
        </w:rPr>
      </w:pPr>
    </w:p>
    <w:p w:rsidR="00D75E68" w:rsidRPr="008E6D5F" w:rsidRDefault="00D75E68" w:rsidP="0038360F">
      <w:pPr>
        <w:spacing w:before="120" w:after="80" w:line="288" w:lineRule="auto"/>
        <w:jc w:val="both"/>
        <w:rPr>
          <w:rFonts w:eastAsia="Times New Roman"/>
          <w:b/>
          <w:bCs/>
          <w:lang w:eastAsia="hr-HR"/>
        </w:rPr>
      </w:pPr>
    </w:p>
    <w:p w:rsidR="00F7224D" w:rsidRPr="008E6D5F" w:rsidRDefault="00F7224D" w:rsidP="0038360F">
      <w:pPr>
        <w:spacing w:before="120" w:after="80" w:line="288" w:lineRule="auto"/>
        <w:jc w:val="both"/>
        <w:rPr>
          <w:rFonts w:eastAsia="Times New Roman"/>
          <w:bCs/>
          <w:lang w:eastAsia="hr-HR"/>
        </w:rPr>
      </w:pPr>
      <w:r w:rsidRPr="008E6D5F">
        <w:rPr>
          <w:rFonts w:eastAsia="Times New Roman"/>
          <w:b/>
          <w:bCs/>
          <w:lang w:eastAsia="hr-HR"/>
        </w:rPr>
        <w:lastRenderedPageBreak/>
        <w:t>Pomoći proračunskim korisnicima iz proračuna koji im nije nadležan</w:t>
      </w:r>
      <w:r w:rsidR="00793BFF" w:rsidRPr="008E6D5F">
        <w:rPr>
          <w:rFonts w:eastAsia="Times New Roman"/>
          <w:b/>
          <w:bCs/>
          <w:lang w:eastAsia="hr-HR"/>
        </w:rPr>
        <w:t xml:space="preserve"> (AOP 065) </w:t>
      </w:r>
      <w:r w:rsidRPr="008E6D5F">
        <w:rPr>
          <w:rFonts w:eastAsia="Times New Roman"/>
          <w:bCs/>
          <w:lang w:eastAsia="hr-HR"/>
        </w:rPr>
        <w:t>u izvještajnom razdoblju iznosi 2.547.411,28 kn.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>Ministarstvo zdrav</w:t>
      </w:r>
      <w:r w:rsidR="0038360F" w:rsidRPr="008E6D5F">
        <w:rPr>
          <w:rFonts w:cs="Microsoft Sans Serif"/>
        </w:rPr>
        <w:t>stva</w:t>
      </w:r>
      <w:r w:rsidRPr="008E6D5F">
        <w:rPr>
          <w:rFonts w:cs="Microsoft Sans Serif"/>
        </w:rPr>
        <w:t xml:space="preserve"> financira dio djelatnosti prevencije i izvanbolničkog liječenja ovisnosti; prema ugovoru o financijskoj potpori projektu „Prevencija ovisnosti, izvanbolničko liječenje i zaštita mentalnog zdravlja“ ostvaren je prihod u iznosu 420.000,00 kn. </w:t>
      </w:r>
    </w:p>
    <w:p w:rsidR="00F7224D" w:rsidRPr="008E6D5F" w:rsidRDefault="00F7224D" w:rsidP="0038360F">
      <w:pPr>
        <w:spacing w:before="120" w:after="80" w:line="288" w:lineRule="auto"/>
        <w:jc w:val="both"/>
      </w:pPr>
      <w:r w:rsidRPr="008E6D5F">
        <w:rPr>
          <w:rFonts w:cs="Microsoft Sans Serif"/>
        </w:rPr>
        <w:t>Ministarstvo zdrav</w:t>
      </w:r>
      <w:r w:rsidR="00793BFF" w:rsidRPr="008E6D5F">
        <w:rPr>
          <w:rFonts w:cs="Microsoft Sans Serif"/>
        </w:rPr>
        <w:t>stva</w:t>
      </w:r>
      <w:r w:rsidRPr="008E6D5F">
        <w:rPr>
          <w:rFonts w:cs="Microsoft Sans Serif"/>
        </w:rPr>
        <w:t xml:space="preserve"> refundiralo je troškove nastale u studenom 2015. godine za </w:t>
      </w:r>
      <w:r w:rsidRPr="008E6D5F">
        <w:t>provođenje dodatne zdravstvene zaštite izvan uobičajene svakodnevne organizacije rada na zahtjev Kriznog stožera radi osiguravanja provođenja mjera za zaštitu od zaraznih bolesti i zaštitu zdravlja tražitelja azila i azilanata, stranaca pod privremenom zaštitom i stranaca pod supsidijarnom zaštitom u ukupnom iznosu 18.278,62 kn.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 xml:space="preserve">U 2016. godini realiziran je Program sufinanciranja ovlaštenih referentnih laboratorija za hranu i hranu za životinje Ministarstva poljoprivrede u iznosu 72.332,66 kn. </w:t>
      </w:r>
    </w:p>
    <w:p w:rsidR="0081176C" w:rsidRPr="008E6D5F" w:rsidRDefault="00585BD7" w:rsidP="00585BD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 xml:space="preserve">Dio rashoda koji su nastali u svrhu osnivanja Centra za sigurnost i kvalitetu hrane financiran je iz sredstva Ministarstva poljoprivrede </w:t>
      </w:r>
      <w:r w:rsidR="0081176C" w:rsidRPr="008E6D5F">
        <w:rPr>
          <w:rFonts w:cs="Microsoft Sans Serif"/>
        </w:rPr>
        <w:t xml:space="preserve">- </w:t>
      </w:r>
      <w:r w:rsidRPr="008E6D5F">
        <w:rPr>
          <w:rFonts w:cs="Microsoft Sans Serif"/>
        </w:rPr>
        <w:t>pozicija državnog proračuna – aktivnost T821065 – Centar za sigurnost i kvalitetu hrane</w:t>
      </w:r>
      <w:r w:rsidR="0081176C" w:rsidRPr="008E6D5F">
        <w:rPr>
          <w:rFonts w:cs="Microsoft Sans Serif"/>
        </w:rPr>
        <w:t>, a temeljem ugovora o isplati novčanih sredstva za osnivanje Centra za sigurnost i kvalitetu hrane Kl.:402-01/16-01/102, ur.br.:525-09/1336-16-2 (kl.:012-04/15-02/04, ur.br.:525-16-30, ev.br.169/16) od 17. svibnja 2016. godine.</w:t>
      </w:r>
      <w:r w:rsidRPr="008E6D5F">
        <w:rPr>
          <w:rFonts w:cs="Microsoft Sans Serif"/>
        </w:rPr>
        <w:t>.</w:t>
      </w:r>
    </w:p>
    <w:p w:rsidR="0081176C" w:rsidRPr="008E6D5F" w:rsidRDefault="00585BD7" w:rsidP="00585BD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 xml:space="preserve">Ministarstvo je temeljem ugovora o isplati novčanih sredstva za osnivanje Centra za sigurnost i kvalitetu hrane doznačilo Zavodu 29. lipnja 2016. godine ukupno odobreni iznos u visini 2.546.000,00 kn. </w:t>
      </w:r>
    </w:p>
    <w:p w:rsidR="00585BD7" w:rsidRPr="008E6D5F" w:rsidRDefault="00585BD7" w:rsidP="00585BD7">
      <w:pPr>
        <w:spacing w:before="120" w:after="80" w:line="288" w:lineRule="auto"/>
        <w:jc w:val="both"/>
        <w:rPr>
          <w:rFonts w:eastAsia="Times New Roman" w:cstheme="minorHAnsi"/>
          <w:bCs/>
          <w:iCs/>
          <w:lang w:eastAsia="hr-HR"/>
        </w:rPr>
      </w:pPr>
      <w:r w:rsidRPr="008E6D5F">
        <w:rPr>
          <w:rFonts w:cs="Microsoft Sans Serif"/>
        </w:rPr>
        <w:t xml:space="preserve">Iz navedenog iznosa namjenski je utrošeno za opremanje – nabavu dugotrajne </w:t>
      </w:r>
      <w:r w:rsidRPr="008E6D5F">
        <w:rPr>
          <w:rFonts w:cstheme="minorHAnsi"/>
        </w:rPr>
        <w:t xml:space="preserve">nefinancijske imovine iznos od </w:t>
      </w:r>
      <w:r w:rsidRPr="008E6D5F">
        <w:rPr>
          <w:rFonts w:eastAsia="Times New Roman" w:cstheme="minorHAnsi"/>
          <w:bCs/>
          <w:iCs/>
          <w:lang w:eastAsia="hr-HR"/>
        </w:rPr>
        <w:t>737.802,58 kn, dok je za nabavu materijala (potrošni materijal, kemikalije, standardi i plinovi), nabavu usluga tekućeg održavanja i prilagodbu postojeće laboratorijske opreme, nabavu usluga vezanih za akreditaciju i certifikaciju, usluga interkalibracije (međulaboratorijskih ispitivanja), usluga za izradu dopune studije isplativosti i troškove za stručna usavršavanja (službena putovanja i edukacije) radnika Zavoda za potrebe osnivanja Centra za sigurnost i kvalitetu hrane rashoda utrošeno 1.808.197,4</w:t>
      </w:r>
      <w:r w:rsidR="0081176C" w:rsidRPr="008E6D5F">
        <w:rPr>
          <w:rFonts w:eastAsia="Times New Roman" w:cstheme="minorHAnsi"/>
          <w:bCs/>
          <w:iCs/>
          <w:lang w:eastAsia="hr-HR"/>
        </w:rPr>
        <w:t>2</w:t>
      </w:r>
      <w:r w:rsidRPr="008E6D5F">
        <w:rPr>
          <w:rFonts w:eastAsia="Times New Roman" w:cstheme="minorHAnsi"/>
          <w:bCs/>
          <w:iCs/>
          <w:lang w:eastAsia="hr-HR"/>
        </w:rPr>
        <w:t xml:space="preserve"> kn. Na dan 31.12.2016. godine ukupno doznačena sredstva su u cijelosti namjenski utrošena</w:t>
      </w:r>
      <w:r w:rsidR="0081176C" w:rsidRPr="008E6D5F">
        <w:rPr>
          <w:rFonts w:eastAsia="Times New Roman" w:cstheme="minorHAnsi"/>
          <w:bCs/>
          <w:iCs/>
          <w:lang w:eastAsia="hr-HR"/>
        </w:rPr>
        <w:t>.</w:t>
      </w:r>
    </w:p>
    <w:p w:rsidR="0081176C" w:rsidRPr="008E6D5F" w:rsidRDefault="0081176C" w:rsidP="00585BD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 xml:space="preserve">Zavod je temeljem ugovora o isplati novčanih sredstva za osnivanje Centra za sigurnost i kvalitetu hrane sklopljenog s Ministarstvom poljoprivrede ostvario prihod od tekućih </w:t>
      </w:r>
      <w:r w:rsidRPr="008E6D5F">
        <w:rPr>
          <w:rFonts w:eastAsia="Times New Roman"/>
          <w:bCs/>
          <w:lang w:eastAsia="hr-HR"/>
        </w:rPr>
        <w:t>pomoći proračunskim korisnicima iz proračuna koji im nije nadležan</w:t>
      </w:r>
      <w:r w:rsidRPr="008E6D5F">
        <w:rPr>
          <w:rFonts w:cs="Microsoft Sans Serif"/>
        </w:rPr>
        <w:t xml:space="preserve"> rashode u iznosu 1.446.557,94 kn i prihod od kapitalnih </w:t>
      </w:r>
      <w:r w:rsidRPr="008E6D5F">
        <w:rPr>
          <w:rFonts w:eastAsia="Times New Roman"/>
          <w:bCs/>
          <w:lang w:eastAsia="hr-HR"/>
        </w:rPr>
        <w:t>pomoći proračunskim korisnicima iz proračuna koji im nije nadležan</w:t>
      </w:r>
      <w:r w:rsidRPr="008E6D5F">
        <w:rPr>
          <w:rFonts w:cs="Microsoft Sans Serif"/>
        </w:rPr>
        <w:t xml:space="preserve"> u iznosu 590.242,06 kn.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Prihodi od financijske imovine</w:t>
      </w:r>
      <w:r w:rsidR="00793BFF" w:rsidRPr="008E6D5F">
        <w:rPr>
          <w:rFonts w:cs="Microsoft Sans Serif"/>
          <w:b/>
        </w:rPr>
        <w:t xml:space="preserve"> (AOP 072) </w:t>
      </w:r>
      <w:r w:rsidRPr="008E6D5F">
        <w:rPr>
          <w:rFonts w:cs="Microsoft Sans Serif"/>
        </w:rPr>
        <w:t>u izvještajnom razdoblju iznose 196.944,72 kn i odnose se na prihode od kamata na depozite po viđenju u iznosu 7.826,20 kn, kamata na oročene depozite u iznosu 162.589,95 kn, prihode od pozitivnih tečajnih razlika u iznosu 2.158,21 kn i prihode od zateznih kamata u iznosu 24.370,36 kn.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 xml:space="preserve">Prihodi od nefinancijske imovine </w:t>
      </w:r>
      <w:r w:rsidR="00793BFF" w:rsidRPr="008E6D5F">
        <w:rPr>
          <w:rFonts w:cs="Microsoft Sans Serif"/>
          <w:b/>
        </w:rPr>
        <w:t xml:space="preserve">(AOP 080) </w:t>
      </w:r>
      <w:r w:rsidRPr="008E6D5F">
        <w:rPr>
          <w:rFonts w:cs="Microsoft Sans Serif"/>
        </w:rPr>
        <w:t>u izvještajnom razdoblju iznose 158.813,22 kn. Prihodi od nefinancijske imovine odnose se na prihode koji su naplaćeni od poslovnih subjekata koji u dijelu svog poslovanja koriste prostor i resurse Zavoda naplata pristojbi i sudskih troškova po utuženim potraživanjima, te obustava u korist Zavoda.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lastRenderedPageBreak/>
        <w:t>Prihodi po posebnim propisima, ostali nespomenuti prihod</w:t>
      </w:r>
      <w:r w:rsidR="00793BFF" w:rsidRPr="008E6D5F">
        <w:rPr>
          <w:rFonts w:cs="Microsoft Sans Serif"/>
          <w:b/>
        </w:rPr>
        <w:t xml:space="preserve"> (AOP 113) </w:t>
      </w:r>
      <w:r w:rsidRPr="008E6D5F">
        <w:rPr>
          <w:rFonts w:cs="Microsoft Sans Serif"/>
        </w:rPr>
        <w:t xml:space="preserve">iznose 538.384,28 kn u okviru kojih su evidentirani prihodi ostvareni od naplaćene participacije za obavljene mikrobiološke usluge u iznosu 471.545,82 kn i prihodi od refundacije šteta u iznosu 66.838,46 kn. 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Prihodi od pruženih usluga</w:t>
      </w:r>
      <w:r w:rsidR="00793BFF" w:rsidRPr="008E6D5F">
        <w:rPr>
          <w:rFonts w:cs="Microsoft Sans Serif"/>
          <w:b/>
        </w:rPr>
        <w:t xml:space="preserve"> (AOP 123) </w:t>
      </w:r>
      <w:r w:rsidRPr="008E6D5F">
        <w:rPr>
          <w:rFonts w:cs="Microsoft Sans Serif"/>
        </w:rPr>
        <w:t>u izvještajnom razdoblju iznose 44.8</w:t>
      </w:r>
      <w:r w:rsidR="00BB517E">
        <w:rPr>
          <w:rFonts w:cs="Microsoft Sans Serif"/>
        </w:rPr>
        <w:t>38</w:t>
      </w:r>
      <w:r w:rsidRPr="008E6D5F">
        <w:rPr>
          <w:rFonts w:cs="Microsoft Sans Serif"/>
        </w:rPr>
        <w:t>.703,10 kn i ostvareni su 10,18% manje u odnosu na plan za izvještajno razdoblje i 2,08 % manje u odnosu na izvršenje u istom razdoblju prethodne godine. Prihodi od pruženih usluga čine 49,59 % ukupnih prihoda poslovanja.</w:t>
      </w:r>
    </w:p>
    <w:p w:rsidR="00793BFF" w:rsidRPr="008E6D5F" w:rsidRDefault="00F7224D" w:rsidP="0038360F">
      <w:pPr>
        <w:spacing w:before="120" w:after="80" w:line="288" w:lineRule="auto"/>
        <w:jc w:val="both"/>
        <w:rPr>
          <w:rFonts w:cs="Microsoft Sans Serif"/>
          <w:b/>
        </w:rPr>
      </w:pPr>
      <w:r w:rsidRPr="008E6D5F">
        <w:rPr>
          <w:rFonts w:eastAsia="Times New Roman"/>
          <w:b/>
          <w:bCs/>
          <w:lang w:eastAsia="hr-HR"/>
        </w:rPr>
        <w:t>Donacije od pravnih i fizičkih osoba izvan općeg proračuna</w:t>
      </w:r>
      <w:r w:rsidRPr="008E6D5F">
        <w:rPr>
          <w:rFonts w:cs="Microsoft Sans Serif"/>
          <w:b/>
        </w:rPr>
        <w:t xml:space="preserve"> </w:t>
      </w:r>
      <w:r w:rsidR="00793BFF" w:rsidRPr="008E6D5F">
        <w:rPr>
          <w:rFonts w:cs="Microsoft Sans Serif"/>
          <w:b/>
        </w:rPr>
        <w:t xml:space="preserve">(AOP 125); </w:t>
      </w:r>
      <w:r w:rsidR="00793BFF" w:rsidRPr="008E6D5F">
        <w:rPr>
          <w:rFonts w:cs="Microsoft Sans Serif"/>
        </w:rPr>
        <w:t>u</w:t>
      </w:r>
      <w:r w:rsidRPr="008E6D5F">
        <w:rPr>
          <w:rFonts w:cs="Microsoft Sans Serif"/>
        </w:rPr>
        <w:t xml:space="preserve"> izvještajnom razdoblju ostvaren je prihod od tekućih donacija od pravnih osoba u iznosu 14.009,50 kn, a odnosi se na pokriće troškova za </w:t>
      </w:r>
      <w:r w:rsidR="002848CA" w:rsidRPr="008E6D5F">
        <w:rPr>
          <w:rFonts w:cs="Microsoft Sans Serif"/>
        </w:rPr>
        <w:t>službena putovanja.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Prihodi iz nadležnog proračuna za financiranje rashoda poslovanja</w:t>
      </w:r>
      <w:r w:rsidR="00793BFF" w:rsidRPr="008E6D5F">
        <w:rPr>
          <w:rFonts w:cs="Microsoft Sans Serif"/>
          <w:b/>
        </w:rPr>
        <w:t xml:space="preserve"> (AOP 129) </w:t>
      </w:r>
      <w:r w:rsidRPr="008E6D5F">
        <w:rPr>
          <w:rFonts w:cs="Microsoft Sans Serif"/>
        </w:rPr>
        <w:t>iznose 7</w:t>
      </w:r>
      <w:r w:rsidR="00BB517E">
        <w:rPr>
          <w:rFonts w:cs="Microsoft Sans Serif"/>
        </w:rPr>
        <w:t>65</w:t>
      </w:r>
      <w:r w:rsidRPr="008E6D5F">
        <w:rPr>
          <w:rFonts w:cs="Microsoft Sans Serif"/>
        </w:rPr>
        <w:t xml:space="preserve">.230,00 </w:t>
      </w:r>
      <w:r w:rsidR="0038360F" w:rsidRPr="008E6D5F">
        <w:rPr>
          <w:rFonts w:cs="Microsoft Sans Serif"/>
        </w:rPr>
        <w:t xml:space="preserve">kn i </w:t>
      </w:r>
      <w:r w:rsidRPr="008E6D5F">
        <w:rPr>
          <w:rFonts w:cs="Microsoft Sans Serif"/>
        </w:rPr>
        <w:t>čine 0,82% ukupnih prihoda poslovanja. Ostvareni su 1,3 % manje od plana, a 3,89 % manje od ostvarenja istog razdoblja prošle godine.</w:t>
      </w:r>
    </w:p>
    <w:p w:rsidR="00F7224D" w:rsidRPr="008E6D5F" w:rsidRDefault="00F7224D" w:rsidP="0038360F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>Ova pozicija iz računskog plana obuhvaća prihode koje Zavod ostvaruje temeljem Ugovora s Gradskim uredom za zdravstvo, a financiraju se temeljem prijenosa iz nadležnog proračuna za financiranje redovne djelatnosti.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eastAsia="Times New Roman"/>
          <w:b/>
          <w:bCs/>
          <w:lang w:eastAsia="hr-HR"/>
        </w:rPr>
        <w:t>Prihodi iz nadležnog proračuna za financiranje rashoda za nabavu nefinancijske imovine</w:t>
      </w:r>
      <w:r w:rsidR="00793BFF" w:rsidRPr="008E6D5F">
        <w:rPr>
          <w:rFonts w:eastAsia="Times New Roman"/>
          <w:b/>
          <w:bCs/>
          <w:lang w:eastAsia="hr-HR"/>
        </w:rPr>
        <w:t xml:space="preserve"> (AOP 130); </w:t>
      </w:r>
      <w:r w:rsidRPr="008E6D5F">
        <w:rPr>
          <w:rFonts w:cs="Microsoft Sans Serif"/>
        </w:rPr>
        <w:t>u izvještajnom razdoblju iznose 744.250,00 kn, a odnose se na financiranje nabave RTG mamografskog uređaja prema ugovoru o sufinanciranju Programa preventivna mobilna mamografija u Zagrebu Kl.:430-02/16-01/57, Ur.br.:251-11-01/5-16-1 od 16.02.2016. godine.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Prihodi na temelju ugovornih obveza</w:t>
      </w:r>
      <w:r w:rsidR="00793BFF" w:rsidRPr="008E6D5F">
        <w:rPr>
          <w:rFonts w:cs="Microsoft Sans Serif"/>
          <w:b/>
        </w:rPr>
        <w:t xml:space="preserve"> (AOP 133) </w:t>
      </w:r>
      <w:r w:rsidRPr="008E6D5F">
        <w:rPr>
          <w:rFonts w:cs="Microsoft Sans Serif"/>
        </w:rPr>
        <w:t xml:space="preserve">obuhvaćaju prihode koji su ostvareni temeljem ugovornih obveza s Hrvatskim zavodom za zdravstveno osiguranje. Prihodi na temelju ugovornih obveza u izvještajnom razdoblju iznose 40.213.633,93 kn i ostvareni su 0,35% više u odnosu na plan za izvještajno razdoblje i 9,02 % više u odnosu na izvršenje u istom razdoblju prethodne godine. Prihodi na temelju ugovornih obveza čine 44,45% ukupnih prihoda poslovanja. Povećanje prihoda u odnosu na prošlogodišnje razdoblje odnosi se na ugovaranje novih gerontološko-javnozdravstvenih timova i povećanja aktivnosti specijalističko konzilijarne - zdravstvene zaštite. 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 xml:space="preserve">Rashodi poslovanja </w:t>
      </w:r>
      <w:r w:rsidR="00EF52B4" w:rsidRPr="008E6D5F">
        <w:rPr>
          <w:rFonts w:cs="Microsoft Sans Serif"/>
          <w:b/>
        </w:rPr>
        <w:t>(AOP 147)</w:t>
      </w:r>
      <w:r w:rsidR="00EF52B4" w:rsidRPr="008E6D5F">
        <w:rPr>
          <w:rFonts w:cs="Microsoft Sans Serif"/>
        </w:rPr>
        <w:t xml:space="preserve"> </w:t>
      </w:r>
      <w:r w:rsidRPr="008E6D5F">
        <w:rPr>
          <w:rFonts w:cs="Microsoft Sans Serif"/>
        </w:rPr>
        <w:t>u razdoblju 01.01.-31.12.2016. godine iznose 87.627.589,50 kn; ostvareni su s 6,15% manje u odnosu na godišnji plan i 1,73 % više u odnosu na izvršenje u istom razdoblju prethodne godine.</w:t>
      </w:r>
    </w:p>
    <w:p w:rsidR="00EF52B4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 xml:space="preserve">U strukturi rashoda poslovanja </w:t>
      </w:r>
      <w:r w:rsidRPr="008E6D5F">
        <w:rPr>
          <w:rFonts w:cs="Microsoft Sans Serif"/>
          <w:b/>
        </w:rPr>
        <w:t>rashodi za zaposlene</w:t>
      </w:r>
      <w:r w:rsidR="00EF52B4" w:rsidRPr="008E6D5F">
        <w:rPr>
          <w:rFonts w:cs="Microsoft Sans Serif"/>
          <w:b/>
        </w:rPr>
        <w:t xml:space="preserve"> (AOP 148)</w:t>
      </w:r>
      <w:r w:rsidRPr="008E6D5F">
        <w:rPr>
          <w:rFonts w:cs="Microsoft Sans Serif"/>
        </w:rPr>
        <w:t xml:space="preserve"> iznose 58.845.130,85 kn, sudjeluju s 67,15% u ukupnim rashodima poslovanja, ostvareni su 0,52% manje u odnosu na plan za izvještajno razdoblje i 4,89 % više u odnosu na izvršenje u istom razdoblju prethodne godine. </w:t>
      </w:r>
      <w:r w:rsidR="00EF52B4" w:rsidRPr="008E6D5F">
        <w:rPr>
          <w:rFonts w:cs="Microsoft Sans Serif"/>
        </w:rPr>
        <w:t xml:space="preserve">U okviru rashoda za zaposlene </w:t>
      </w:r>
      <w:r w:rsidR="00EF52B4" w:rsidRPr="008E6D5F">
        <w:rPr>
          <w:rFonts w:cs="Microsoft Sans Serif"/>
          <w:b/>
        </w:rPr>
        <w:t>ostali rashodi za zaposlene (AOP 155)</w:t>
      </w:r>
      <w:r w:rsidR="00EF52B4" w:rsidRPr="008E6D5F">
        <w:rPr>
          <w:rFonts w:cs="Microsoft Sans Serif"/>
        </w:rPr>
        <w:t xml:space="preserve"> iznosili su u 2016. godini 2.142.961,96 kn što je za 1.063.528,00 kn ili 98,5% više nego u 2015. godini. Povećanje ovih rashoda rezultat je isplate razlike jubilarnih nagrada za 2013. godinu sukladno odluci Upravnog vijeća Zavoda, te regresa i božićnice radnicima Zavoda sukladno pravima iz kolektivnog ugovora. </w:t>
      </w:r>
    </w:p>
    <w:p w:rsidR="00EF52B4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 xml:space="preserve">Materijalni rashodi </w:t>
      </w:r>
      <w:r w:rsidR="00EF52B4" w:rsidRPr="008E6D5F">
        <w:rPr>
          <w:rFonts w:cs="Microsoft Sans Serif"/>
          <w:b/>
        </w:rPr>
        <w:t>(AOP 160)</w:t>
      </w:r>
      <w:r w:rsidR="00EF52B4" w:rsidRPr="008E6D5F">
        <w:rPr>
          <w:rFonts w:cs="Microsoft Sans Serif"/>
        </w:rPr>
        <w:t xml:space="preserve"> </w:t>
      </w:r>
      <w:r w:rsidRPr="008E6D5F">
        <w:rPr>
          <w:rFonts w:cs="Microsoft Sans Serif"/>
        </w:rPr>
        <w:t xml:space="preserve">iznose 28.608.805,83 kn, čine 32,65% ukupnih rashoda poslovanja, ostvareni su 16,03% manje u odnosu na plan za izvještajno razdoblje i 4,34% manje u odnosu na izvršenje u istom razdoblju prethodne godine. 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lastRenderedPageBreak/>
        <w:t xml:space="preserve">Financijski rashodi </w:t>
      </w:r>
      <w:r w:rsidR="00EF52B4" w:rsidRPr="008E6D5F">
        <w:rPr>
          <w:rFonts w:cs="Microsoft Sans Serif"/>
          <w:b/>
        </w:rPr>
        <w:t>(AOP 194)</w:t>
      </w:r>
      <w:r w:rsidR="00EF52B4" w:rsidRPr="008E6D5F">
        <w:rPr>
          <w:rFonts w:cs="Microsoft Sans Serif"/>
        </w:rPr>
        <w:t xml:space="preserve"> </w:t>
      </w:r>
      <w:r w:rsidRPr="008E6D5F">
        <w:rPr>
          <w:rFonts w:cs="Microsoft Sans Serif"/>
        </w:rPr>
        <w:t>iznose 173.652,62 kn i čine 0,20% ukupnih rashoda poslovanja.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Višak prihoda poslovanj</w:t>
      </w:r>
      <w:r w:rsidRPr="008E6D5F">
        <w:rPr>
          <w:rFonts w:cs="Microsoft Sans Serif"/>
        </w:rPr>
        <w:t>a ostvaren u izvještajnom razdoblju</w:t>
      </w:r>
      <w:r w:rsidR="00F465C1" w:rsidRPr="008E6D5F">
        <w:rPr>
          <w:rFonts w:cs="Microsoft Sans Serif"/>
          <w:b/>
        </w:rPr>
        <w:t xml:space="preserve"> (AOP 273)</w:t>
      </w:r>
      <w:r w:rsidRPr="008E6D5F">
        <w:rPr>
          <w:rFonts w:cs="Microsoft Sans Serif"/>
        </w:rPr>
        <w:t xml:space="preserve"> iznosi 2.835.204,50 kn.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Rashodi za nabavu nefinancijske imovine</w:t>
      </w:r>
      <w:r w:rsidR="00F465C1" w:rsidRPr="008E6D5F">
        <w:rPr>
          <w:rFonts w:cs="Microsoft Sans Serif"/>
          <w:b/>
        </w:rPr>
        <w:t xml:space="preserve"> (AOP 334)</w:t>
      </w:r>
      <w:r w:rsidRPr="008E6D5F">
        <w:rPr>
          <w:rFonts w:cs="Microsoft Sans Serif"/>
        </w:rPr>
        <w:t xml:space="preserve"> u izvještajnom razdoblju iznose 2.667.382,18 kn i ostvareni su s 66,68% u odnosu na planirane. </w:t>
      </w:r>
      <w:r w:rsidR="00F465C1" w:rsidRPr="008E6D5F">
        <w:rPr>
          <w:rFonts w:cs="Microsoft Sans Serif"/>
        </w:rPr>
        <w:t>Od ukupnog iznosa realizirane nabave nefinancijske imovine iznos od 1.324.890,12 kn financiran je iz vlastitih sredstava Zavoda, dok je nabava RTG mamografskog uređaja u iznosu od 744.250,00 financirana iz proračuna Grada Zagreba, a nabava laboratorijske opreme za potrebe osnivanja Centra za sigurnost i kvalitetu hrane financirana je od strane Ministarstva poljoprivrede u iznosu 590.242,06 (odnosno 737.802,58 kn s uključenim PDV-om)</w:t>
      </w:r>
      <w:r w:rsidR="0038360F" w:rsidRPr="008E6D5F">
        <w:rPr>
          <w:rFonts w:cs="Microsoft Sans Serif"/>
        </w:rPr>
        <w:t>.</w:t>
      </w:r>
    </w:p>
    <w:p w:rsidR="00F7224D" w:rsidRPr="008E6D5F" w:rsidRDefault="00F7224D" w:rsidP="001C1D5A">
      <w:pPr>
        <w:spacing w:before="120" w:after="80" w:line="288" w:lineRule="auto"/>
        <w:jc w:val="both"/>
        <w:rPr>
          <w:rFonts w:cs="Microsoft Sans Serif"/>
          <w:b/>
        </w:rPr>
      </w:pPr>
      <w:r w:rsidRPr="008E6D5F">
        <w:rPr>
          <w:rFonts w:cs="Microsoft Sans Serif"/>
        </w:rPr>
        <w:t xml:space="preserve">U istom razdoblju ostvaren je </w:t>
      </w:r>
      <w:r w:rsidRPr="008E6D5F">
        <w:rPr>
          <w:rFonts w:cs="Microsoft Sans Serif"/>
          <w:b/>
        </w:rPr>
        <w:t>prihod od prodaje nefinancijske imovine</w:t>
      </w:r>
      <w:r w:rsidRPr="008E6D5F">
        <w:rPr>
          <w:rFonts w:cs="Microsoft Sans Serif"/>
        </w:rPr>
        <w:t xml:space="preserve"> </w:t>
      </w:r>
      <w:r w:rsidR="00F465C1" w:rsidRPr="008E6D5F">
        <w:rPr>
          <w:rFonts w:cs="Microsoft Sans Serif"/>
        </w:rPr>
        <w:t>u iznosu 8.000,00 kn iskazan na računu 7225 – Instrumenti, uređaji i strojevi</w:t>
      </w:r>
      <w:r w:rsidR="00F465C1" w:rsidRPr="008E6D5F">
        <w:rPr>
          <w:rFonts w:cs="Microsoft Sans Serif"/>
          <w:b/>
        </w:rPr>
        <w:t xml:space="preserve"> (AOP 305)</w:t>
      </w:r>
      <w:r w:rsidR="0038360F" w:rsidRPr="008E6D5F">
        <w:rPr>
          <w:rFonts w:cs="Microsoft Sans Serif"/>
          <w:b/>
        </w:rPr>
        <w:t>.</w:t>
      </w:r>
    </w:p>
    <w:p w:rsidR="006971E1" w:rsidRPr="008E6D5F" w:rsidRDefault="006971E1" w:rsidP="001C1D5A">
      <w:pPr>
        <w:spacing w:before="120" w:after="80" w:line="288" w:lineRule="auto"/>
        <w:rPr>
          <w:rFonts w:eastAsia="Calibri" w:cs="Microsoft Sans Serif"/>
        </w:rPr>
      </w:pPr>
      <w:r w:rsidRPr="008E6D5F">
        <w:rPr>
          <w:rFonts w:eastAsia="Calibri" w:cs="Microsoft Sans Serif"/>
          <w:b/>
        </w:rPr>
        <w:t>Manjak prihoda od nefinancijske imovine (AOP 397)</w:t>
      </w:r>
      <w:r w:rsidRPr="008E6D5F">
        <w:rPr>
          <w:rFonts w:eastAsia="Calibri" w:cs="Microsoft Sans Serif"/>
        </w:rPr>
        <w:t xml:space="preserve"> u izvještajnom razdoblju iznosi 2.659.382,18</w:t>
      </w:r>
      <w:r w:rsidR="001C1D5A" w:rsidRPr="008E6D5F">
        <w:rPr>
          <w:rFonts w:eastAsia="Calibri" w:cs="Microsoft Sans Serif"/>
        </w:rPr>
        <w:t xml:space="preserve"> kn</w:t>
      </w:r>
    </w:p>
    <w:p w:rsidR="00F7224D" w:rsidRPr="008E6D5F" w:rsidRDefault="00F7224D" w:rsidP="00751A1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</w:rPr>
        <w:t>U izvještajnom razdoblju ostvaren je ostvaren je pr</w:t>
      </w:r>
      <w:r w:rsidR="00F465C1" w:rsidRPr="008E6D5F">
        <w:rPr>
          <w:rFonts w:cs="Microsoft Sans Serif"/>
        </w:rPr>
        <w:t>imitak</w:t>
      </w:r>
      <w:r w:rsidRPr="008E6D5F">
        <w:rPr>
          <w:rFonts w:cs="Microsoft Sans Serif"/>
        </w:rPr>
        <w:t xml:space="preserve"> od financijske imovine </w:t>
      </w:r>
      <w:r w:rsidR="00F465C1" w:rsidRPr="008E6D5F">
        <w:rPr>
          <w:rFonts w:cs="Microsoft Sans Serif"/>
        </w:rPr>
        <w:t xml:space="preserve">(AOP </w:t>
      </w:r>
      <w:r w:rsidR="006971E1" w:rsidRPr="008E6D5F">
        <w:rPr>
          <w:rFonts w:cs="Microsoft Sans Serif"/>
        </w:rPr>
        <w:t xml:space="preserve">444) </w:t>
      </w:r>
      <w:r w:rsidRPr="008E6D5F">
        <w:rPr>
          <w:rFonts w:cs="Microsoft Sans Serif"/>
        </w:rPr>
        <w:t xml:space="preserve">u ukupnom iznosu 1.044.500,00 kn, a odnosi se na razročenje ugovora o okvirnoj liniji u iznosu 1.000.000,00 kn i povrate depozita </w:t>
      </w:r>
      <w:r w:rsidR="006971E1" w:rsidRPr="008E6D5F">
        <w:rPr>
          <w:rFonts w:cs="Microsoft Sans Serif"/>
        </w:rPr>
        <w:t xml:space="preserve">u iznosu 44.500,00 </w:t>
      </w:r>
      <w:r w:rsidRPr="008E6D5F">
        <w:rPr>
          <w:rFonts w:cs="Microsoft Sans Serif"/>
        </w:rPr>
        <w:t xml:space="preserve">koji su bili dani u 2015. godini u svrhu jamstva za ozbiljnost ponude i jamstava za dobro izvršenje posla po ugovorim o javnoj nabavi. </w:t>
      </w:r>
    </w:p>
    <w:p w:rsidR="00F7224D" w:rsidRPr="008E6D5F" w:rsidRDefault="006971E1" w:rsidP="00751A1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cs="Microsoft Sans Serif"/>
          <w:b/>
        </w:rPr>
        <w:t>Izdaci za depozite u kreditnim i ostalim financijskim institucijama (tuzemni) AOP (556)</w:t>
      </w:r>
      <w:r w:rsidRPr="008E6D5F">
        <w:rPr>
          <w:rFonts w:cs="Microsoft Sans Serif"/>
        </w:rPr>
        <w:t xml:space="preserve"> i</w:t>
      </w:r>
      <w:r w:rsidR="00F7224D" w:rsidRPr="008E6D5F">
        <w:rPr>
          <w:rFonts w:cs="Microsoft Sans Serif"/>
        </w:rPr>
        <w:t>znos</w:t>
      </w:r>
      <w:r w:rsidRPr="008E6D5F">
        <w:rPr>
          <w:rFonts w:cs="Microsoft Sans Serif"/>
        </w:rPr>
        <w:t>e</w:t>
      </w:r>
      <w:r w:rsidR="00F7224D" w:rsidRPr="008E6D5F">
        <w:rPr>
          <w:rFonts w:cs="Microsoft Sans Serif"/>
        </w:rPr>
        <w:t xml:space="preserve"> </w:t>
      </w:r>
      <w:r w:rsidRPr="008E6D5F">
        <w:rPr>
          <w:rFonts w:cs="Microsoft Sans Serif"/>
        </w:rPr>
        <w:t>1.000.000,00 kn, a odnose</w:t>
      </w:r>
      <w:r w:rsidR="00886692">
        <w:rPr>
          <w:rFonts w:cs="Microsoft Sans Serif"/>
        </w:rPr>
        <w:t xml:space="preserve"> se</w:t>
      </w:r>
      <w:r w:rsidRPr="008E6D5F">
        <w:rPr>
          <w:rFonts w:cs="Microsoft Sans Serif"/>
        </w:rPr>
        <w:t xml:space="preserve"> na ponovo oročenje depozita </w:t>
      </w:r>
      <w:r w:rsidR="00F7224D" w:rsidRPr="008E6D5F">
        <w:rPr>
          <w:rFonts w:cs="Microsoft Sans Serif"/>
        </w:rPr>
        <w:t>za pokriće okvirne linije.</w:t>
      </w:r>
    </w:p>
    <w:p w:rsidR="00EF52B4" w:rsidRPr="008E6D5F" w:rsidRDefault="006971E1" w:rsidP="00751A17">
      <w:pPr>
        <w:spacing w:before="120" w:after="80" w:line="288" w:lineRule="auto"/>
        <w:jc w:val="both"/>
        <w:rPr>
          <w:rFonts w:cs="Microsoft Sans Serif"/>
        </w:rPr>
      </w:pPr>
      <w:r w:rsidRPr="008E6D5F">
        <w:rPr>
          <w:rFonts w:eastAsia="Calibri" w:cs="Microsoft Sans Serif"/>
          <w:b/>
        </w:rPr>
        <w:t xml:space="preserve">Financijski rezultat (AOP 631-637) </w:t>
      </w:r>
      <w:r w:rsidR="00EF52B4" w:rsidRPr="008E6D5F">
        <w:rPr>
          <w:rFonts w:cs="Microsoft Sans Serif"/>
        </w:rPr>
        <w:t>Nastavni zavod za javno zdravstvo „Dr. Andrija Štampar” je u razdoblju od 31.12.2016. godine ostvario višak prihoda nad rashodima</w:t>
      </w:r>
      <w:r w:rsidRPr="008E6D5F">
        <w:rPr>
          <w:rFonts w:cs="Microsoft Sans Serif"/>
        </w:rPr>
        <w:t xml:space="preserve"> </w:t>
      </w:r>
      <w:r w:rsidR="00EF52B4" w:rsidRPr="008E6D5F">
        <w:rPr>
          <w:rFonts w:cs="Microsoft Sans Serif"/>
        </w:rPr>
        <w:t>u iznosu 220.322,32 kn. Ukupno raspoloživi</w:t>
      </w:r>
      <w:r w:rsidR="00EF52B4" w:rsidRPr="008E6D5F">
        <w:rPr>
          <w:rFonts w:cs="Microsoft Sans Serif"/>
          <w:b/>
        </w:rPr>
        <w:t xml:space="preserve"> </w:t>
      </w:r>
      <w:r w:rsidR="00EF52B4" w:rsidRPr="008E6D5F">
        <w:rPr>
          <w:rFonts w:cs="Microsoft Sans Serif"/>
        </w:rPr>
        <w:t>iznos viška</w:t>
      </w:r>
      <w:r w:rsidR="000641D6" w:rsidRPr="008E6D5F">
        <w:rPr>
          <w:rFonts w:cs="Microsoft Sans Serif"/>
        </w:rPr>
        <w:t xml:space="preserve"> </w:t>
      </w:r>
      <w:r w:rsidR="00EF52B4" w:rsidRPr="008E6D5F">
        <w:rPr>
          <w:rFonts w:cs="Microsoft Sans Serif"/>
        </w:rPr>
        <w:t xml:space="preserve">prihoda </w:t>
      </w:r>
      <w:r w:rsidRPr="008E6D5F">
        <w:rPr>
          <w:rFonts w:cs="Microsoft Sans Serif"/>
        </w:rPr>
        <w:t>n</w:t>
      </w:r>
      <w:r w:rsidR="00EF52B4" w:rsidRPr="008E6D5F">
        <w:rPr>
          <w:rFonts w:cs="Microsoft Sans Serif"/>
        </w:rPr>
        <w:t>a dan 31.12.2016</w:t>
      </w:r>
      <w:r w:rsidR="00751A17" w:rsidRPr="008E6D5F">
        <w:rPr>
          <w:rFonts w:cs="Microsoft Sans Serif"/>
        </w:rPr>
        <w:t>.</w:t>
      </w:r>
      <w:r w:rsidR="00EF52B4" w:rsidRPr="008E6D5F">
        <w:rPr>
          <w:rFonts w:cs="Microsoft Sans Serif"/>
        </w:rPr>
        <w:t xml:space="preserve"> godine iznosi 16.083.654,50 kn</w:t>
      </w:r>
    </w:p>
    <w:p w:rsidR="000641D6" w:rsidRPr="008E6D5F" w:rsidRDefault="000641D6" w:rsidP="00751A17">
      <w:pPr>
        <w:spacing w:before="120" w:after="80" w:line="288" w:lineRule="auto"/>
        <w:jc w:val="both"/>
        <w:rPr>
          <w:rFonts w:cs="Microsoft Sans Serif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420"/>
        <w:gridCol w:w="1660"/>
      </w:tblGrid>
      <w:tr w:rsidR="008E6D5F" w:rsidRPr="008E6D5F" w:rsidTr="005A3496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Iznos akumuliranog iznosa viška prihoda na dan 31.12.2015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15.863.332,18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 xml:space="preserve">Iznos prihoda poslovanja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90.462.794,00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 xml:space="preserve">Iznos rashoda poslovanja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87.627.589,50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Višak prihoda poslovanja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2.835.204,50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Iznos prihoda od prodaje nefinancijske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8.000,00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Iznos rashoda za nabavu nefinancijske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2.667.382,18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Manjak prihoda od nefinancijske imovine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2.659.382,18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 xml:space="preserve">Iznos primitaka od financijske imovine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1.044.500,00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 xml:space="preserve">Iznos izdataka od financijske imovine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lang w:eastAsia="hr-HR"/>
              </w:rPr>
            </w:pPr>
            <w:r w:rsidRPr="008E6D5F">
              <w:rPr>
                <w:rFonts w:eastAsia="Times New Roman" w:cs="Calibri"/>
                <w:lang w:eastAsia="hr-HR"/>
              </w:rPr>
              <w:t>1.000.000,00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Višak primitaka od financijske imovine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44.500,00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Višak prihoda nad rashodima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220.322,32</w:t>
            </w:r>
          </w:p>
        </w:tc>
      </w:tr>
      <w:tr w:rsidR="008E6D5F" w:rsidRPr="008E6D5F" w:rsidTr="005A3496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Raspoloživi iznos viška prihoda i primitaka raspoloživ u sljedećem razdoblju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F52B4" w:rsidRPr="008E6D5F" w:rsidRDefault="00EF52B4" w:rsidP="005A34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 w:rsidRPr="008E6D5F">
              <w:rPr>
                <w:rFonts w:eastAsia="Times New Roman" w:cs="Calibri"/>
                <w:b/>
                <w:bCs/>
                <w:lang w:eastAsia="hr-HR"/>
              </w:rPr>
              <w:t>16.083.654,50</w:t>
            </w:r>
          </w:p>
        </w:tc>
      </w:tr>
    </w:tbl>
    <w:p w:rsidR="00D75E68" w:rsidRPr="008E6D5F" w:rsidRDefault="00D75E68" w:rsidP="00D75E68">
      <w:pPr>
        <w:spacing w:before="360" w:after="240" w:line="276" w:lineRule="auto"/>
        <w:jc w:val="both"/>
        <w:rPr>
          <w:rFonts w:cs="Levenim MT"/>
          <w:b/>
          <w:caps/>
        </w:rPr>
      </w:pPr>
    </w:p>
    <w:p w:rsidR="00D75E68" w:rsidRPr="008E6D5F" w:rsidRDefault="00D75E68" w:rsidP="00D75E68">
      <w:pPr>
        <w:spacing w:before="360" w:after="240" w:line="276" w:lineRule="auto"/>
        <w:jc w:val="both"/>
        <w:rPr>
          <w:rFonts w:cs="Levenim MT"/>
          <w:b/>
          <w:caps/>
        </w:rPr>
      </w:pPr>
    </w:p>
    <w:p w:rsidR="00BC3DC2" w:rsidRPr="008E6D5F" w:rsidRDefault="00BC3DC2" w:rsidP="004D0810">
      <w:pPr>
        <w:shd w:val="clear" w:color="auto" w:fill="D9E2F3"/>
        <w:spacing w:before="360" w:after="240" w:line="276" w:lineRule="auto"/>
        <w:jc w:val="both"/>
        <w:rPr>
          <w:rFonts w:cs="Levenim MT"/>
          <w:b/>
          <w:caps/>
        </w:rPr>
      </w:pPr>
      <w:r w:rsidRPr="008E6D5F">
        <w:rPr>
          <w:rFonts w:cs="Levenim MT"/>
          <w:b/>
          <w:caps/>
        </w:rPr>
        <w:lastRenderedPageBreak/>
        <w:t xml:space="preserve">Izvještaj o promjenama u vrijednosti i obujmu imovine i obveza  - </w:t>
      </w:r>
      <w:r w:rsidRPr="008E6D5F">
        <w:rPr>
          <w:rFonts w:cs="Levenim MT"/>
          <w:b/>
        </w:rPr>
        <w:t>Obrazac P</w:t>
      </w:r>
      <w:r w:rsidRPr="008E6D5F">
        <w:rPr>
          <w:rFonts w:cs="Levenim MT"/>
          <w:b/>
          <w:caps/>
        </w:rPr>
        <w:t>-VRIO</w:t>
      </w:r>
    </w:p>
    <w:p w:rsidR="003E6EAF" w:rsidRPr="008E6D5F" w:rsidRDefault="00BC3DC2" w:rsidP="001C1D5A">
      <w:pPr>
        <w:spacing w:before="120" w:after="80" w:line="288" w:lineRule="auto"/>
        <w:jc w:val="both"/>
        <w:rPr>
          <w:rFonts w:cs="Microsoft Sans Serif"/>
          <w:lang w:val="pl-PL"/>
        </w:rPr>
      </w:pPr>
      <w:r w:rsidRPr="008E6D5F">
        <w:rPr>
          <w:rFonts w:cs="Levenim MT"/>
        </w:rPr>
        <w:t>U 201</w:t>
      </w:r>
      <w:r w:rsidR="00916428" w:rsidRPr="008E6D5F">
        <w:rPr>
          <w:rFonts w:cs="Levenim MT"/>
        </w:rPr>
        <w:t>6</w:t>
      </w:r>
      <w:r w:rsidRPr="008E6D5F">
        <w:rPr>
          <w:rFonts w:cs="Levenim MT"/>
        </w:rPr>
        <w:t xml:space="preserve">. god. nastalo je smanjenje obujma imovine u dijelu koji se odnosi na </w:t>
      </w:r>
      <w:r w:rsidRPr="008E6D5F">
        <w:rPr>
          <w:rFonts w:cs="Levenim MT"/>
          <w:b/>
        </w:rPr>
        <w:t>potraživanja za prihode poslovanja</w:t>
      </w:r>
      <w:r w:rsidR="00903171" w:rsidRPr="008E6D5F">
        <w:rPr>
          <w:rFonts w:cs="Levenim MT"/>
          <w:b/>
        </w:rPr>
        <w:t xml:space="preserve"> (AOP 032)</w:t>
      </w:r>
      <w:r w:rsidRPr="008E6D5F">
        <w:rPr>
          <w:rFonts w:cs="Levenim MT"/>
        </w:rPr>
        <w:t xml:space="preserve"> u </w:t>
      </w:r>
      <w:r w:rsidR="00903171" w:rsidRPr="008E6D5F">
        <w:rPr>
          <w:rFonts w:cs="Levenim MT"/>
        </w:rPr>
        <w:t xml:space="preserve">ukupnom iznosu od </w:t>
      </w:r>
      <w:r w:rsidR="006971E1" w:rsidRPr="008E6D5F">
        <w:rPr>
          <w:rFonts w:cs="Levenim MT"/>
        </w:rPr>
        <w:t>365.387,91</w:t>
      </w:r>
      <w:r w:rsidR="00903171" w:rsidRPr="008E6D5F">
        <w:rPr>
          <w:rFonts w:cs="Levenim MT"/>
        </w:rPr>
        <w:t xml:space="preserve"> kn </w:t>
      </w:r>
      <w:r w:rsidR="005978AE" w:rsidRPr="008E6D5F">
        <w:rPr>
          <w:rFonts w:cs="Levenim MT"/>
        </w:rPr>
        <w:t xml:space="preserve">a </w:t>
      </w:r>
      <w:r w:rsidR="00903171" w:rsidRPr="008E6D5F">
        <w:rPr>
          <w:rFonts w:cs="Levenim MT"/>
        </w:rPr>
        <w:t xml:space="preserve">odnosi na otpisana potraživanja </w:t>
      </w:r>
      <w:r w:rsidR="005978AE" w:rsidRPr="008E6D5F">
        <w:rPr>
          <w:rFonts w:cs="Levenim MT"/>
        </w:rPr>
        <w:t>temeljem Odluke Upravnog vijeća</w:t>
      </w:r>
      <w:r w:rsidR="003E6EAF" w:rsidRPr="008E6D5F">
        <w:rPr>
          <w:rFonts w:cs="Levenim MT"/>
        </w:rPr>
        <w:t>. P</w:t>
      </w:r>
      <w:r w:rsidR="005978AE" w:rsidRPr="008E6D5F">
        <w:rPr>
          <w:rFonts w:cs="Levenim MT"/>
        </w:rPr>
        <w:t xml:space="preserve">otraživanja za prihode iz proračuna </w:t>
      </w:r>
      <w:r w:rsidR="003E6EAF" w:rsidRPr="008E6D5F">
        <w:rPr>
          <w:rFonts w:cs="Microsoft Sans Serif"/>
          <w:lang w:val="pl-PL"/>
        </w:rPr>
        <w:t>nastala u razdoblju od 01.01.201</w:t>
      </w:r>
      <w:r w:rsidR="006971E1" w:rsidRPr="008E6D5F">
        <w:rPr>
          <w:rFonts w:cs="Microsoft Sans Serif"/>
          <w:lang w:val="pl-PL"/>
        </w:rPr>
        <w:t>5</w:t>
      </w:r>
      <w:r w:rsidR="003E6EAF" w:rsidRPr="008E6D5F">
        <w:rPr>
          <w:rFonts w:cs="Microsoft Sans Serif"/>
          <w:lang w:val="pl-PL"/>
        </w:rPr>
        <w:t>. do 31.12.201</w:t>
      </w:r>
      <w:r w:rsidR="006971E1" w:rsidRPr="008E6D5F">
        <w:rPr>
          <w:rFonts w:cs="Microsoft Sans Serif"/>
          <w:lang w:val="pl-PL"/>
        </w:rPr>
        <w:t>5</w:t>
      </w:r>
      <w:r w:rsidR="003E6EAF" w:rsidRPr="008E6D5F">
        <w:rPr>
          <w:rFonts w:cs="Microsoft Sans Serif"/>
          <w:lang w:val="pl-PL"/>
        </w:rPr>
        <w:t xml:space="preserve">. godine, s osnove pružanja usluga specijalističke dijagnostike u djelatnosti mikrobiologije s parazitologijom osiguranicima Hrvatskog zavoda za zdravstveno osiguranje, a temeljem </w:t>
      </w:r>
      <w:r w:rsidR="003E6EAF" w:rsidRPr="008E6D5F">
        <w:rPr>
          <w:rFonts w:cs="Microsoft Sans Serif"/>
        </w:rPr>
        <w:t>Ugovora o provođenju specijalističko-dijagnostičke zdravstvene zaštite za 201</w:t>
      </w:r>
      <w:r w:rsidR="006971E1" w:rsidRPr="008E6D5F">
        <w:rPr>
          <w:rFonts w:cs="Microsoft Sans Serif"/>
        </w:rPr>
        <w:t>5</w:t>
      </w:r>
      <w:r w:rsidR="003E6EAF" w:rsidRPr="008E6D5F">
        <w:rPr>
          <w:rFonts w:cs="Microsoft Sans Serif"/>
        </w:rPr>
        <w:t xml:space="preserve">. godinu Kl.:500-07/13-01/797, Ur.br.:338-01-34-13-1 od 30.12.2013. godine </w:t>
      </w:r>
      <w:r w:rsidR="003E6EAF" w:rsidRPr="008E6D5F">
        <w:rPr>
          <w:rFonts w:cs="Microsoft Sans Serif"/>
          <w:lang w:val="pl-PL"/>
        </w:rPr>
        <w:t>kojim je regulirano provođenje specijalističko-dijagnostičke zdravstvene zaštite u 201</w:t>
      </w:r>
      <w:r w:rsidR="006971E1" w:rsidRPr="008E6D5F">
        <w:rPr>
          <w:rFonts w:cs="Microsoft Sans Serif"/>
          <w:lang w:val="pl-PL"/>
        </w:rPr>
        <w:t>5</w:t>
      </w:r>
      <w:r w:rsidR="003E6EAF" w:rsidRPr="008E6D5F">
        <w:rPr>
          <w:rFonts w:cs="Microsoft Sans Serif"/>
          <w:lang w:val="pl-PL"/>
        </w:rPr>
        <w:t xml:space="preserve">. </w:t>
      </w:r>
      <w:r w:rsidR="00751A17" w:rsidRPr="008E6D5F">
        <w:rPr>
          <w:rFonts w:cs="Microsoft Sans Serif"/>
          <w:lang w:val="pl-PL"/>
        </w:rPr>
        <w:t>g</w:t>
      </w:r>
      <w:r w:rsidR="003E6EAF" w:rsidRPr="008E6D5F">
        <w:rPr>
          <w:rFonts w:cs="Microsoft Sans Serif"/>
          <w:lang w:val="pl-PL"/>
        </w:rPr>
        <w:t>odini</w:t>
      </w:r>
      <w:r w:rsidR="00916428" w:rsidRPr="008E6D5F">
        <w:rPr>
          <w:rFonts w:cs="Microsoft Sans Serif"/>
          <w:lang w:val="pl-PL"/>
        </w:rPr>
        <w:t>,</w:t>
      </w:r>
      <w:r w:rsidR="003E6EAF" w:rsidRPr="008E6D5F">
        <w:rPr>
          <w:rFonts w:cs="Microsoft Sans Serif"/>
          <w:lang w:val="pl-PL"/>
        </w:rPr>
        <w:t xml:space="preserve"> otpisana su radi zbog nemogućnosti naplate</w:t>
      </w:r>
      <w:r w:rsidR="00916428" w:rsidRPr="008E6D5F">
        <w:rPr>
          <w:rFonts w:cs="Microsoft Sans Serif"/>
          <w:lang w:val="pl-PL"/>
        </w:rPr>
        <w:t>.</w:t>
      </w:r>
    </w:p>
    <w:p w:rsidR="00BC3DC2" w:rsidRPr="008E6D5F" w:rsidRDefault="00BC3DC2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 xml:space="preserve">Iznos od </w:t>
      </w:r>
      <w:r w:rsidR="006971E1" w:rsidRPr="008E6D5F">
        <w:rPr>
          <w:rFonts w:cs="Levenim MT"/>
        </w:rPr>
        <w:t>7.148,17</w:t>
      </w:r>
      <w:r w:rsidRPr="008E6D5F">
        <w:rPr>
          <w:rFonts w:cs="Levenim MT"/>
        </w:rPr>
        <w:t xml:space="preserve"> kn evidentiran kao iznos </w:t>
      </w:r>
      <w:r w:rsidRPr="008E6D5F">
        <w:rPr>
          <w:rFonts w:cs="Levenim MT"/>
          <w:b/>
        </w:rPr>
        <w:t>smanjenja proizvedene dugotrajne imovine</w:t>
      </w:r>
      <w:r w:rsidR="00903171" w:rsidRPr="008E6D5F">
        <w:rPr>
          <w:rFonts w:cs="Levenim MT"/>
          <w:b/>
        </w:rPr>
        <w:t xml:space="preserve"> (AOP 021) </w:t>
      </w:r>
      <w:r w:rsidRPr="008E6D5F">
        <w:rPr>
          <w:rFonts w:cs="Levenim MT"/>
        </w:rPr>
        <w:t>odnosi se na knji</w:t>
      </w:r>
      <w:r w:rsidR="00F253BE" w:rsidRPr="008E6D5F">
        <w:rPr>
          <w:rFonts w:cs="Levenim MT"/>
        </w:rPr>
        <w:t xml:space="preserve">govodstvenu-sadašnju </w:t>
      </w:r>
      <w:r w:rsidR="008A20D7" w:rsidRPr="008E6D5F">
        <w:rPr>
          <w:rFonts w:cs="Levenim MT"/>
        </w:rPr>
        <w:t xml:space="preserve">vrijednost </w:t>
      </w:r>
      <w:r w:rsidR="00F253BE" w:rsidRPr="008E6D5F">
        <w:rPr>
          <w:rFonts w:cs="Levenim MT"/>
        </w:rPr>
        <w:t>osnovn</w:t>
      </w:r>
      <w:r w:rsidR="00916428" w:rsidRPr="008E6D5F">
        <w:rPr>
          <w:rFonts w:cs="Levenim MT"/>
        </w:rPr>
        <w:t>ih</w:t>
      </w:r>
      <w:r w:rsidRPr="008E6D5F">
        <w:rPr>
          <w:rFonts w:cs="Levenim MT"/>
        </w:rPr>
        <w:t xml:space="preserve"> sredstava</w:t>
      </w:r>
      <w:r w:rsidR="00916428" w:rsidRPr="008E6D5F">
        <w:rPr>
          <w:rFonts w:cs="Levenim MT"/>
        </w:rPr>
        <w:t xml:space="preserve"> koja su otpisana prema izvještaju o provedenoj inventuri za 2015. godinu</w:t>
      </w:r>
      <w:r w:rsidRPr="008E6D5F">
        <w:rPr>
          <w:rFonts w:cs="Levenim MT"/>
        </w:rPr>
        <w:t>.</w:t>
      </w:r>
    </w:p>
    <w:p w:rsidR="00BC3DC2" w:rsidRPr="008E6D5F" w:rsidRDefault="00BC3DC2" w:rsidP="004D0810">
      <w:pPr>
        <w:shd w:val="clear" w:color="auto" w:fill="D9E2F3"/>
        <w:spacing w:before="360" w:after="240" w:line="276" w:lineRule="auto"/>
        <w:jc w:val="both"/>
        <w:rPr>
          <w:rFonts w:cs="Levenim MT"/>
          <w:b/>
          <w:caps/>
        </w:rPr>
      </w:pPr>
      <w:r w:rsidRPr="008E6D5F">
        <w:rPr>
          <w:rFonts w:cs="Levenim MT"/>
          <w:b/>
          <w:caps/>
        </w:rPr>
        <w:t xml:space="preserve">Izvještaj o obvezama – </w:t>
      </w:r>
      <w:r w:rsidRPr="008E6D5F">
        <w:rPr>
          <w:rFonts w:cs="Levenim MT"/>
          <w:b/>
        </w:rPr>
        <w:t xml:space="preserve">Obrazac </w:t>
      </w:r>
      <w:r w:rsidRPr="008E6D5F">
        <w:rPr>
          <w:rFonts w:cs="Levenim MT"/>
          <w:b/>
          <w:caps/>
        </w:rPr>
        <w:t>OBVEZE</w:t>
      </w:r>
    </w:p>
    <w:p w:rsidR="00916428" w:rsidRPr="008E6D5F" w:rsidRDefault="00916428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>Obveze Zavoda iznosile su na dan 01.01.2016. godine</w:t>
      </w:r>
      <w:r w:rsidR="003F6820" w:rsidRPr="008E6D5F">
        <w:rPr>
          <w:rFonts w:cs="Levenim MT"/>
        </w:rPr>
        <w:t xml:space="preserve"> </w:t>
      </w:r>
      <w:r w:rsidRPr="008E6D5F">
        <w:rPr>
          <w:rFonts w:cs="Levenim MT"/>
        </w:rPr>
        <w:t xml:space="preserve">9.438.727,00 kn, od čega je stanje dospjelih obveza iznosilo 1.910.611,00 kn </w:t>
      </w:r>
      <w:r w:rsidR="003F6820" w:rsidRPr="008E6D5F">
        <w:rPr>
          <w:rFonts w:cs="Levenim MT"/>
        </w:rPr>
        <w:t>što je činilo</w:t>
      </w:r>
      <w:r w:rsidRPr="008E6D5F">
        <w:rPr>
          <w:rFonts w:cs="Levenim MT"/>
        </w:rPr>
        <w:t xml:space="preserve"> 20,24%</w:t>
      </w:r>
      <w:r w:rsidR="003F6820" w:rsidRPr="008E6D5F">
        <w:rPr>
          <w:rFonts w:cs="Levenim MT"/>
        </w:rPr>
        <w:t xml:space="preserve"> </w:t>
      </w:r>
      <w:r w:rsidRPr="008E6D5F">
        <w:rPr>
          <w:rFonts w:cs="Levenim MT"/>
        </w:rPr>
        <w:t>ukupnih obveza.</w:t>
      </w:r>
    </w:p>
    <w:p w:rsidR="00437C97" w:rsidRPr="008E6D5F" w:rsidRDefault="00916428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>U razdoblju od 01.01</w:t>
      </w:r>
      <w:r w:rsidR="00BC3DC2" w:rsidRPr="008E6D5F">
        <w:rPr>
          <w:rFonts w:cs="Levenim MT"/>
        </w:rPr>
        <w:t>.-31.12.20</w:t>
      </w:r>
      <w:r w:rsidR="00903171" w:rsidRPr="008E6D5F">
        <w:rPr>
          <w:rFonts w:cs="Levenim MT"/>
        </w:rPr>
        <w:t>1</w:t>
      </w:r>
      <w:r w:rsidRPr="008E6D5F">
        <w:rPr>
          <w:rFonts w:cs="Levenim MT"/>
        </w:rPr>
        <w:t>6</w:t>
      </w:r>
      <w:r w:rsidR="00BC3DC2" w:rsidRPr="008E6D5F">
        <w:rPr>
          <w:rFonts w:cs="Levenim MT"/>
        </w:rPr>
        <w:t xml:space="preserve">. ukupno je nastalo </w:t>
      </w:r>
      <w:r w:rsidRPr="008E6D5F">
        <w:rPr>
          <w:rFonts w:cs="Levenim MT"/>
        </w:rPr>
        <w:t xml:space="preserve">je ukupno 108.191.853,00 kn </w:t>
      </w:r>
      <w:r w:rsidR="00BC3DC2" w:rsidRPr="008E6D5F">
        <w:rPr>
          <w:rFonts w:cs="Levenim MT"/>
        </w:rPr>
        <w:t xml:space="preserve">obveza. </w:t>
      </w:r>
    </w:p>
    <w:p w:rsidR="00437C97" w:rsidRPr="008E6D5F" w:rsidRDefault="00BC3DC2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>Međusobne obveze proračunskih korisnika iznos</w:t>
      </w:r>
      <w:r w:rsidR="003F6820" w:rsidRPr="008E6D5F">
        <w:rPr>
          <w:rFonts w:cs="Levenim MT"/>
        </w:rPr>
        <w:t>ile su</w:t>
      </w:r>
      <w:r w:rsidRPr="008E6D5F">
        <w:rPr>
          <w:rFonts w:cs="Levenim MT"/>
        </w:rPr>
        <w:t xml:space="preserve"> </w:t>
      </w:r>
      <w:r w:rsidR="00916428" w:rsidRPr="008E6D5F">
        <w:rPr>
          <w:rFonts w:cs="Levenim MT"/>
        </w:rPr>
        <w:t>2.133.868,00</w:t>
      </w:r>
      <w:r w:rsidRPr="008E6D5F">
        <w:rPr>
          <w:rFonts w:cs="Levenim MT"/>
        </w:rPr>
        <w:t xml:space="preserve"> kn, a odnose se na refundaciju režijskih troškova Domovima zdravlja</w:t>
      </w:r>
      <w:r w:rsidR="00751A17" w:rsidRPr="008E6D5F">
        <w:rPr>
          <w:rFonts w:cs="Levenim MT"/>
        </w:rPr>
        <w:t xml:space="preserve">, </w:t>
      </w:r>
      <w:r w:rsidRPr="008E6D5F">
        <w:rPr>
          <w:rFonts w:cs="Levenim MT"/>
        </w:rPr>
        <w:t>obveze za zdravstvene usluge</w:t>
      </w:r>
      <w:r w:rsidR="003E6EAF" w:rsidRPr="008E6D5F">
        <w:rPr>
          <w:rFonts w:cs="Levenim MT"/>
        </w:rPr>
        <w:t xml:space="preserve"> i laboratorijske usluge</w:t>
      </w:r>
      <w:r w:rsidR="00751A17" w:rsidRPr="008E6D5F">
        <w:rPr>
          <w:rFonts w:cs="Levenim MT"/>
        </w:rPr>
        <w:t xml:space="preserve"> i ostale usluge</w:t>
      </w:r>
      <w:r w:rsidR="003E6EAF" w:rsidRPr="008E6D5F">
        <w:rPr>
          <w:rFonts w:cs="Levenim MT"/>
        </w:rPr>
        <w:t xml:space="preserve"> </w:t>
      </w:r>
      <w:r w:rsidRPr="008E6D5F">
        <w:rPr>
          <w:rFonts w:cs="Levenim MT"/>
        </w:rPr>
        <w:t>koje Zavodu pružaju druge zdravstvene ustanove – proračunski korisnici.</w:t>
      </w:r>
    </w:p>
    <w:p w:rsidR="00BC3DC2" w:rsidRPr="008E6D5F" w:rsidRDefault="00BC3DC2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>Obveze za rashode poslovanja nastale u razdoblju 01.</w:t>
      </w:r>
      <w:r w:rsidR="00916428" w:rsidRPr="008E6D5F">
        <w:rPr>
          <w:rFonts w:cs="Levenim MT"/>
        </w:rPr>
        <w:t>01</w:t>
      </w:r>
      <w:r w:rsidRPr="008E6D5F">
        <w:rPr>
          <w:rFonts w:cs="Levenim MT"/>
        </w:rPr>
        <w:t>.-31.12.201</w:t>
      </w:r>
      <w:r w:rsidR="00916428" w:rsidRPr="008E6D5F">
        <w:rPr>
          <w:rFonts w:cs="Levenim MT"/>
        </w:rPr>
        <w:t>6</w:t>
      </w:r>
      <w:r w:rsidRPr="008E6D5F">
        <w:rPr>
          <w:rFonts w:cs="Levenim MT"/>
        </w:rPr>
        <w:t>. iznos</w:t>
      </w:r>
      <w:r w:rsidR="003F6820" w:rsidRPr="008E6D5F">
        <w:rPr>
          <w:rFonts w:cs="Levenim MT"/>
        </w:rPr>
        <w:t>ile su</w:t>
      </w:r>
      <w:r w:rsidRPr="008E6D5F">
        <w:rPr>
          <w:rFonts w:cs="Levenim MT"/>
        </w:rPr>
        <w:t xml:space="preserve"> </w:t>
      </w:r>
      <w:r w:rsidR="00916428" w:rsidRPr="008E6D5F">
        <w:rPr>
          <w:rFonts w:cs="Levenim MT"/>
        </w:rPr>
        <w:t>103.149.187</w:t>
      </w:r>
      <w:r w:rsidR="003F6820" w:rsidRPr="008E6D5F">
        <w:rPr>
          <w:rFonts w:cs="Levenim MT"/>
        </w:rPr>
        <w:t>,00</w:t>
      </w:r>
      <w:r w:rsidR="0033500F" w:rsidRPr="008E6D5F">
        <w:rPr>
          <w:rFonts w:cs="Levenim MT"/>
        </w:rPr>
        <w:t xml:space="preserve"> </w:t>
      </w:r>
      <w:r w:rsidRPr="008E6D5F">
        <w:rPr>
          <w:rFonts w:cs="Levenim MT"/>
        </w:rPr>
        <w:t xml:space="preserve">kn, dok </w:t>
      </w:r>
      <w:r w:rsidR="003F6820" w:rsidRPr="008E6D5F">
        <w:rPr>
          <w:rFonts w:cs="Levenim MT"/>
        </w:rPr>
        <w:t xml:space="preserve">su </w:t>
      </w:r>
      <w:r w:rsidRPr="008E6D5F">
        <w:rPr>
          <w:rFonts w:cs="Levenim MT"/>
        </w:rPr>
        <w:t>obveze za nabavu nefinancijske imovine iznos</w:t>
      </w:r>
      <w:r w:rsidR="003F6820" w:rsidRPr="008E6D5F">
        <w:rPr>
          <w:rFonts w:cs="Levenim MT"/>
        </w:rPr>
        <w:t>il</w:t>
      </w:r>
      <w:r w:rsidRPr="008E6D5F">
        <w:rPr>
          <w:rFonts w:cs="Levenim MT"/>
        </w:rPr>
        <w:t xml:space="preserve">e </w:t>
      </w:r>
      <w:r w:rsidR="003F6820" w:rsidRPr="008E6D5F">
        <w:rPr>
          <w:rFonts w:cs="Levenim MT"/>
        </w:rPr>
        <w:t>2.908.798,00</w:t>
      </w:r>
      <w:r w:rsidRPr="008E6D5F">
        <w:rPr>
          <w:rFonts w:cs="Levenim MT"/>
        </w:rPr>
        <w:t xml:space="preserve"> kn</w:t>
      </w:r>
      <w:r w:rsidR="00751A17" w:rsidRPr="008E6D5F">
        <w:rPr>
          <w:rFonts w:cs="Levenim MT"/>
        </w:rPr>
        <w:t>.</w:t>
      </w:r>
      <w:r w:rsidRPr="008E6D5F">
        <w:rPr>
          <w:rFonts w:cs="Levenim MT"/>
        </w:rPr>
        <w:t xml:space="preserve"> </w:t>
      </w:r>
    </w:p>
    <w:p w:rsidR="00437C97" w:rsidRPr="008E6D5F" w:rsidRDefault="00BC3DC2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 xml:space="preserve">U istom razdoblju podmireno je obveza u iznosu </w:t>
      </w:r>
      <w:r w:rsidR="003F6820" w:rsidRPr="008E6D5F">
        <w:rPr>
          <w:rFonts w:cs="Levenim MT"/>
        </w:rPr>
        <w:t>107.781.551,00</w:t>
      </w:r>
      <w:r w:rsidRPr="008E6D5F">
        <w:rPr>
          <w:rFonts w:cs="Levenim MT"/>
        </w:rPr>
        <w:t xml:space="preserve"> kn i saldo obveza na dan 31.12.201</w:t>
      </w:r>
      <w:r w:rsidR="003F6820" w:rsidRPr="008E6D5F">
        <w:rPr>
          <w:rFonts w:cs="Levenim MT"/>
        </w:rPr>
        <w:t>6</w:t>
      </w:r>
      <w:r w:rsidRPr="008E6D5F">
        <w:rPr>
          <w:rFonts w:cs="Levenim MT"/>
        </w:rPr>
        <w:t xml:space="preserve">. iznosi </w:t>
      </w:r>
      <w:r w:rsidR="003F6820" w:rsidRPr="008E6D5F">
        <w:rPr>
          <w:rFonts w:cs="Levenim MT"/>
        </w:rPr>
        <w:t>9.849.029,00</w:t>
      </w:r>
      <w:r w:rsidRPr="008E6D5F">
        <w:rPr>
          <w:rFonts w:cs="Levenim MT"/>
        </w:rPr>
        <w:t xml:space="preserve"> kn. </w:t>
      </w:r>
    </w:p>
    <w:p w:rsidR="00BC3DC2" w:rsidRPr="008E6D5F" w:rsidRDefault="003E6EAF" w:rsidP="001C1D5A">
      <w:pPr>
        <w:spacing w:before="120" w:after="80" w:line="288" w:lineRule="auto"/>
        <w:jc w:val="both"/>
        <w:rPr>
          <w:rFonts w:cs="Levenim MT"/>
        </w:rPr>
      </w:pPr>
      <w:r w:rsidRPr="008E6D5F">
        <w:rPr>
          <w:rFonts w:cs="Levenim MT"/>
        </w:rPr>
        <w:t xml:space="preserve">Od ukupnog iznosa obveza dospjelo </w:t>
      </w:r>
      <w:r w:rsidR="003F6820" w:rsidRPr="008E6D5F">
        <w:rPr>
          <w:rFonts w:cs="Levenim MT"/>
        </w:rPr>
        <w:t xml:space="preserve">do 60 dana </w:t>
      </w:r>
      <w:r w:rsidRPr="008E6D5F">
        <w:rPr>
          <w:rFonts w:cs="Levenim MT"/>
        </w:rPr>
        <w:t xml:space="preserve">je ukupno </w:t>
      </w:r>
      <w:r w:rsidR="003F6820" w:rsidRPr="008E6D5F">
        <w:rPr>
          <w:rFonts w:cs="Levenim MT"/>
        </w:rPr>
        <w:t>601.187,00</w:t>
      </w:r>
      <w:r w:rsidRPr="008E6D5F">
        <w:rPr>
          <w:rFonts w:cs="Levenim MT"/>
        </w:rPr>
        <w:t xml:space="preserve"> kn</w:t>
      </w:r>
      <w:r w:rsidR="003F6820" w:rsidRPr="008E6D5F">
        <w:rPr>
          <w:rFonts w:cs="Levenim MT"/>
        </w:rPr>
        <w:t xml:space="preserve"> (ili 6,10%) obveza </w:t>
      </w:r>
      <w:r w:rsidRPr="008E6D5F">
        <w:rPr>
          <w:rFonts w:cs="Levenim MT"/>
        </w:rPr>
        <w:t xml:space="preserve">dok nedospjele obveze iznose </w:t>
      </w:r>
      <w:r w:rsidR="003F6820" w:rsidRPr="008E6D5F">
        <w:rPr>
          <w:rFonts w:cs="Levenim MT"/>
        </w:rPr>
        <w:t>9.247.</w:t>
      </w:r>
      <w:r w:rsidR="008315D9" w:rsidRPr="008E6D5F">
        <w:rPr>
          <w:rFonts w:cs="Levenim MT"/>
        </w:rPr>
        <w:t>842</w:t>
      </w:r>
      <w:r w:rsidR="003F6820" w:rsidRPr="008E6D5F">
        <w:rPr>
          <w:rFonts w:cs="Levenim MT"/>
        </w:rPr>
        <w:t>,00</w:t>
      </w:r>
      <w:r w:rsidRPr="008E6D5F">
        <w:rPr>
          <w:rFonts w:cs="Levenim MT"/>
        </w:rPr>
        <w:t xml:space="preserve"> kn.</w:t>
      </w:r>
    </w:p>
    <w:p w:rsidR="003E6EAF" w:rsidRPr="008E6D5F" w:rsidRDefault="003E6EAF" w:rsidP="001C1D5A">
      <w:pPr>
        <w:spacing w:before="120" w:after="80" w:line="288" w:lineRule="auto"/>
        <w:jc w:val="both"/>
        <w:rPr>
          <w:rFonts w:cs="Levenim MT"/>
        </w:rPr>
      </w:pPr>
      <w:bookmarkStart w:id="0" w:name="_GoBack"/>
      <w:bookmarkEnd w:id="0"/>
    </w:p>
    <w:p w:rsidR="00BC3DC2" w:rsidRPr="008E6D5F" w:rsidRDefault="00BC3DC2" w:rsidP="0033500F">
      <w:pPr>
        <w:spacing w:before="40" w:after="40" w:line="276" w:lineRule="auto"/>
        <w:jc w:val="both"/>
        <w:rPr>
          <w:rFonts w:cs="Levenim MT"/>
        </w:rPr>
      </w:pPr>
      <w:r w:rsidRPr="008E6D5F">
        <w:rPr>
          <w:rFonts w:cs="Levenim MT"/>
        </w:rPr>
        <w:t xml:space="preserve">U Zagrebu, </w:t>
      </w:r>
      <w:r w:rsidR="00972753">
        <w:rPr>
          <w:rFonts w:cs="Levenim MT"/>
        </w:rPr>
        <w:t>31.01</w:t>
      </w:r>
      <w:r w:rsidR="003F6820" w:rsidRPr="008E6D5F">
        <w:rPr>
          <w:rFonts w:cs="Levenim MT"/>
        </w:rPr>
        <w:t>.2017. godine</w:t>
      </w:r>
    </w:p>
    <w:p w:rsidR="00BC3DC2" w:rsidRPr="008E6D5F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</w:p>
    <w:p w:rsidR="00BC3DC2" w:rsidRPr="008E6D5F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>Osoba za kontaktiranje:</w:t>
      </w:r>
    </w:p>
    <w:p w:rsidR="00BC3DC2" w:rsidRPr="008E6D5F" w:rsidRDefault="0033500F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 xml:space="preserve">Voditeljica </w:t>
      </w:r>
      <w:r w:rsidR="00BC3DC2" w:rsidRPr="008E6D5F">
        <w:rPr>
          <w:rFonts w:asciiTheme="minorHAnsi" w:hAnsiTheme="minorHAnsi" w:cs="Levenim MT"/>
          <w:szCs w:val="22"/>
          <w:lang w:val="hr-HR"/>
        </w:rPr>
        <w:t xml:space="preserve">Službe za </w:t>
      </w:r>
      <w:r w:rsidRPr="008E6D5F">
        <w:rPr>
          <w:rFonts w:asciiTheme="minorHAnsi" w:hAnsiTheme="minorHAnsi" w:cs="Levenim MT"/>
          <w:szCs w:val="22"/>
          <w:lang w:val="hr-HR"/>
        </w:rPr>
        <w:t>gospodarstvene poslove</w:t>
      </w:r>
    </w:p>
    <w:p w:rsidR="00BC3DC2" w:rsidRPr="008E6D5F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szCs w:val="22"/>
          <w:lang w:val="hr-HR"/>
        </w:rPr>
      </w:pPr>
      <w:r w:rsidRPr="008E6D5F">
        <w:rPr>
          <w:rFonts w:asciiTheme="minorHAnsi" w:hAnsiTheme="minorHAnsi" w:cs="Levenim MT"/>
          <w:szCs w:val="22"/>
          <w:lang w:val="hr-HR"/>
        </w:rPr>
        <w:t xml:space="preserve">Ana Mikuš, dipl.oec. </w:t>
      </w:r>
    </w:p>
    <w:p w:rsidR="00BC3DC2" w:rsidRPr="008E6D5F" w:rsidRDefault="00BC3DC2" w:rsidP="0033500F">
      <w:pPr>
        <w:pStyle w:val="HeaderBase"/>
        <w:spacing w:before="40" w:after="40" w:line="276" w:lineRule="auto"/>
        <w:ind w:firstLine="0"/>
        <w:rPr>
          <w:rFonts w:asciiTheme="minorHAnsi" w:hAnsiTheme="minorHAnsi" w:cs="Levenim MT"/>
          <w:b/>
          <w:szCs w:val="22"/>
          <w:lang w:val="hr-HR"/>
        </w:rPr>
      </w:pPr>
    </w:p>
    <w:p w:rsidR="00BC3DC2" w:rsidRPr="008E6D5F" w:rsidRDefault="00BC3DC2" w:rsidP="00C41646">
      <w:pPr>
        <w:pStyle w:val="HeaderBase"/>
        <w:spacing w:before="40" w:after="40" w:line="276" w:lineRule="auto"/>
        <w:ind w:left="7080" w:firstLine="0"/>
        <w:jc w:val="center"/>
        <w:rPr>
          <w:rFonts w:asciiTheme="minorHAnsi" w:hAnsiTheme="minorHAnsi" w:cs="Levenim MT"/>
          <w:b/>
          <w:szCs w:val="22"/>
          <w:lang w:val="hr-HR"/>
        </w:rPr>
      </w:pPr>
      <w:r w:rsidRPr="008E6D5F">
        <w:rPr>
          <w:rFonts w:asciiTheme="minorHAnsi" w:hAnsiTheme="minorHAnsi" w:cs="Levenim MT"/>
          <w:b/>
          <w:szCs w:val="22"/>
          <w:lang w:val="hr-HR"/>
        </w:rPr>
        <w:t>Zakonski predstavnik</w:t>
      </w:r>
      <w:r w:rsidRPr="008E6D5F">
        <w:rPr>
          <w:rFonts w:asciiTheme="minorHAnsi" w:hAnsiTheme="minorHAnsi" w:cs="Levenim MT"/>
          <w:b/>
          <w:szCs w:val="22"/>
          <w:lang w:val="hr-HR"/>
        </w:rPr>
        <w:br/>
        <w:t>Ravnatelj</w:t>
      </w:r>
      <w:r w:rsidRPr="008E6D5F">
        <w:rPr>
          <w:rFonts w:asciiTheme="minorHAnsi" w:hAnsiTheme="minorHAnsi" w:cs="Levenim MT"/>
          <w:b/>
          <w:szCs w:val="22"/>
          <w:lang w:val="hr-HR"/>
        </w:rPr>
        <w:br/>
      </w:r>
      <w:r w:rsidRPr="008E6D5F">
        <w:rPr>
          <w:rFonts w:asciiTheme="minorHAnsi" w:hAnsiTheme="minorHAnsi" w:cs="Levenim MT"/>
          <w:b/>
          <w:szCs w:val="22"/>
        </w:rPr>
        <w:t>Zvonimir Šostar, dr.med.</w:t>
      </w:r>
    </w:p>
    <w:p w:rsidR="00BC3DC2" w:rsidRPr="008E6D5F" w:rsidRDefault="00BC3DC2" w:rsidP="0033500F">
      <w:pPr>
        <w:spacing w:before="40" w:after="40" w:line="276" w:lineRule="auto"/>
        <w:jc w:val="both"/>
        <w:rPr>
          <w:rFonts w:eastAsia="Calibri" w:cs="Microsoft Sans Serif"/>
        </w:rPr>
      </w:pPr>
    </w:p>
    <w:p w:rsidR="001C13E5" w:rsidRPr="008E6D5F" w:rsidRDefault="001C13E5" w:rsidP="0033500F">
      <w:pPr>
        <w:shd w:val="clear" w:color="auto" w:fill="E6E6E6"/>
        <w:spacing w:before="40" w:after="40" w:line="276" w:lineRule="auto"/>
        <w:jc w:val="both"/>
        <w:rPr>
          <w:rFonts w:eastAsia="Calibri" w:cs="Microsoft Sans Serif"/>
          <w:b/>
        </w:rPr>
        <w:sectPr w:rsidR="001C13E5" w:rsidRPr="008E6D5F" w:rsidSect="001D47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28" w:right="924" w:bottom="1191" w:left="1418" w:header="567" w:footer="567" w:gutter="0"/>
          <w:cols w:space="708"/>
          <w:docGrid w:linePitch="360"/>
        </w:sectPr>
      </w:pPr>
    </w:p>
    <w:p w:rsidR="001C13E5" w:rsidRPr="008E6D5F" w:rsidRDefault="001C13E5" w:rsidP="00437C97">
      <w:pPr>
        <w:spacing w:before="40" w:after="40" w:line="276" w:lineRule="auto"/>
        <w:jc w:val="both"/>
        <w:rPr>
          <w:rFonts w:eastAsia="Calibri" w:cs="Microsoft Sans Serif"/>
          <w:b/>
        </w:rPr>
      </w:pPr>
    </w:p>
    <w:tbl>
      <w:tblPr>
        <w:tblpPr w:leftFromText="180" w:rightFromText="180" w:vertAnchor="text" w:horzAnchor="margin" w:tblpX="-431" w:tblpY="62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1435"/>
        <w:gridCol w:w="1436"/>
        <w:gridCol w:w="1436"/>
        <w:gridCol w:w="1435"/>
        <w:gridCol w:w="1436"/>
        <w:gridCol w:w="1436"/>
        <w:gridCol w:w="1436"/>
      </w:tblGrid>
      <w:tr w:rsidR="008E6D5F" w:rsidRPr="008E6D5F" w:rsidTr="005E58F6">
        <w:trPr>
          <w:trHeight w:val="765"/>
        </w:trPr>
        <w:tc>
          <w:tcPr>
            <w:tcW w:w="5113" w:type="dxa"/>
            <w:shd w:val="clear" w:color="auto" w:fill="E6E6E6"/>
            <w:vAlign w:val="center"/>
          </w:tcPr>
          <w:p w:rsidR="005E58F6" w:rsidRPr="008E6D5F" w:rsidRDefault="005E58F6" w:rsidP="0033500F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5E58F6" w:rsidRPr="008E6D5F" w:rsidRDefault="005E58F6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Potraživanja na dan 31.12.201</w:t>
            </w:r>
            <w:r w:rsidR="00010BF4" w:rsidRPr="008E6D5F">
              <w:rPr>
                <w:rFonts w:cs="Microsoft Sans Serif"/>
                <w:b/>
                <w:bCs/>
                <w:sz w:val="18"/>
                <w:szCs w:val="18"/>
              </w:rPr>
              <w:t>6</w:t>
            </w: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Ukupno dospjela potraživanja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Dospjelo do 90 dana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Dospjelo od 90 do 120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Dospjelo od 120 do 150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Dospjelo od 150 do 180 dana</w:t>
            </w:r>
          </w:p>
        </w:tc>
        <w:tc>
          <w:tcPr>
            <w:tcW w:w="1436" w:type="dxa"/>
            <w:shd w:val="clear" w:color="auto" w:fill="E6E6E6"/>
            <w:vAlign w:val="center"/>
          </w:tcPr>
          <w:p w:rsidR="005E58F6" w:rsidRPr="008E6D5F" w:rsidRDefault="005E58F6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Dospjelo preko 180 dana</w:t>
            </w:r>
          </w:p>
        </w:tc>
      </w:tr>
      <w:tr w:rsidR="008E6D5F" w:rsidRPr="008E6D5F" w:rsidTr="00010BF4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010BF4" w:rsidRPr="008E6D5F" w:rsidRDefault="00010BF4" w:rsidP="00010BF4">
            <w:pPr>
              <w:spacing w:before="40" w:after="40" w:line="276" w:lineRule="auto"/>
              <w:jc w:val="both"/>
              <w:rPr>
                <w:rFonts w:cs="Microsoft Sans Serif"/>
                <w:sz w:val="18"/>
                <w:szCs w:val="18"/>
              </w:rPr>
            </w:pPr>
            <w:r w:rsidRPr="008E6D5F">
              <w:rPr>
                <w:rFonts w:cs="Microsoft Sans Serif"/>
                <w:sz w:val="18"/>
                <w:szCs w:val="18"/>
              </w:rPr>
              <w:t>Potraživanja od HZZO-a po osnovu pružanja zdrav. zaštite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4.901.240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1.316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1.316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0</w:t>
            </w:r>
          </w:p>
        </w:tc>
      </w:tr>
      <w:tr w:rsidR="008E6D5F" w:rsidRPr="008E6D5F" w:rsidTr="00010BF4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010BF4" w:rsidRPr="008E6D5F" w:rsidRDefault="00010BF4" w:rsidP="00010BF4">
            <w:pPr>
              <w:spacing w:before="40" w:after="40" w:line="276" w:lineRule="auto"/>
              <w:jc w:val="both"/>
              <w:rPr>
                <w:rFonts w:cs="Microsoft Sans Serif"/>
                <w:sz w:val="18"/>
                <w:szCs w:val="18"/>
              </w:rPr>
            </w:pPr>
            <w:r w:rsidRPr="008E6D5F">
              <w:rPr>
                <w:rFonts w:cs="Microsoft Sans Serif"/>
                <w:sz w:val="18"/>
                <w:szCs w:val="18"/>
              </w:rPr>
              <w:t xml:space="preserve">Potraživanja od drugih zdravstvenih ustanova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949.227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583.670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395.294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63.122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33.608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23.459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68.187</w:t>
            </w:r>
          </w:p>
        </w:tc>
      </w:tr>
      <w:tr w:rsidR="008E6D5F" w:rsidRPr="008E6D5F" w:rsidTr="00010BF4">
        <w:trPr>
          <w:trHeight w:val="312"/>
        </w:trPr>
        <w:tc>
          <w:tcPr>
            <w:tcW w:w="5113" w:type="dxa"/>
            <w:shd w:val="clear" w:color="auto" w:fill="auto"/>
            <w:vAlign w:val="center"/>
          </w:tcPr>
          <w:p w:rsidR="00010BF4" w:rsidRPr="008E6D5F" w:rsidRDefault="00010BF4" w:rsidP="00010BF4">
            <w:pPr>
              <w:spacing w:before="40" w:after="40" w:line="276" w:lineRule="auto"/>
              <w:jc w:val="both"/>
              <w:rPr>
                <w:rFonts w:cs="Microsoft Sans Serif"/>
                <w:sz w:val="18"/>
                <w:szCs w:val="18"/>
              </w:rPr>
            </w:pPr>
            <w:r w:rsidRPr="008E6D5F">
              <w:rPr>
                <w:rFonts w:cs="Microsoft Sans Serif"/>
                <w:sz w:val="18"/>
                <w:szCs w:val="18"/>
              </w:rPr>
              <w:t xml:space="preserve">Ostala potraživanja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10.725.716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5.608.048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2.490.096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297.171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96.788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107.151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E6D5F">
              <w:rPr>
                <w:sz w:val="18"/>
                <w:szCs w:val="18"/>
              </w:rPr>
              <w:t>2.616.842</w:t>
            </w:r>
          </w:p>
        </w:tc>
      </w:tr>
      <w:tr w:rsidR="008E6D5F" w:rsidRPr="008E6D5F" w:rsidTr="00010BF4">
        <w:trPr>
          <w:trHeight w:val="312"/>
        </w:trPr>
        <w:tc>
          <w:tcPr>
            <w:tcW w:w="5113" w:type="dxa"/>
            <w:shd w:val="clear" w:color="auto" w:fill="D9D9D9"/>
            <w:vAlign w:val="center"/>
          </w:tcPr>
          <w:p w:rsidR="00010BF4" w:rsidRPr="008E6D5F" w:rsidRDefault="00010BF4" w:rsidP="00010BF4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435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16.576.183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6.193.034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2.886.706</w:t>
            </w:r>
          </w:p>
        </w:tc>
        <w:tc>
          <w:tcPr>
            <w:tcW w:w="1435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360.293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130.396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130.610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</w:tcPr>
          <w:p w:rsidR="00010BF4" w:rsidRPr="008E6D5F" w:rsidRDefault="00010BF4" w:rsidP="00010B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2.685.029</w:t>
            </w:r>
          </w:p>
        </w:tc>
      </w:tr>
    </w:tbl>
    <w:p w:rsidR="001C13E5" w:rsidRPr="008E6D5F" w:rsidRDefault="001C13E5" w:rsidP="0033500F">
      <w:pPr>
        <w:spacing w:before="40" w:after="40" w:line="276" w:lineRule="auto"/>
        <w:jc w:val="both"/>
        <w:rPr>
          <w:rFonts w:eastAsia="Calibri" w:cs="Microsoft Sans Serif"/>
          <w:b/>
        </w:rPr>
      </w:pPr>
      <w:r w:rsidRPr="008E6D5F">
        <w:rPr>
          <w:rFonts w:eastAsia="Calibri" w:cs="Microsoft Sans Serif"/>
          <w:b/>
        </w:rPr>
        <w:t xml:space="preserve">Potraživanja od kupaca prema dospijeću na dan </w:t>
      </w:r>
      <w:r w:rsidR="0080389D" w:rsidRPr="008E6D5F">
        <w:rPr>
          <w:rFonts w:eastAsia="Calibri" w:cs="Microsoft Sans Serif"/>
          <w:b/>
        </w:rPr>
        <w:t>31.12.201</w:t>
      </w:r>
      <w:r w:rsidR="00010BF4" w:rsidRPr="008E6D5F">
        <w:rPr>
          <w:rFonts w:eastAsia="Calibri" w:cs="Microsoft Sans Serif"/>
          <w:b/>
        </w:rPr>
        <w:t>6</w:t>
      </w:r>
      <w:r w:rsidRPr="008E6D5F">
        <w:rPr>
          <w:rFonts w:eastAsia="Calibri" w:cs="Microsoft Sans Serif"/>
          <w:b/>
        </w:rPr>
        <w:t>. godine</w:t>
      </w:r>
    </w:p>
    <w:p w:rsidR="00EF52B4" w:rsidRPr="008E6D5F" w:rsidRDefault="00EF52B4" w:rsidP="0033500F">
      <w:pPr>
        <w:tabs>
          <w:tab w:val="left" w:pos="2770"/>
        </w:tabs>
        <w:spacing w:before="40" w:after="40" w:line="276" w:lineRule="auto"/>
        <w:jc w:val="both"/>
        <w:rPr>
          <w:rFonts w:eastAsia="Calibri" w:cs="Microsoft Sans Serif"/>
          <w:b/>
          <w:sz w:val="20"/>
          <w:szCs w:val="20"/>
        </w:rPr>
      </w:pPr>
    </w:p>
    <w:p w:rsidR="001C13E5" w:rsidRPr="008E6D5F" w:rsidRDefault="001C13E5" w:rsidP="0033500F">
      <w:pPr>
        <w:tabs>
          <w:tab w:val="left" w:pos="2770"/>
        </w:tabs>
        <w:spacing w:before="40" w:after="40" w:line="276" w:lineRule="auto"/>
        <w:jc w:val="both"/>
        <w:rPr>
          <w:rFonts w:eastAsia="Calibri" w:cs="Microsoft Sans Serif"/>
          <w:b/>
          <w:sz w:val="20"/>
          <w:szCs w:val="20"/>
        </w:rPr>
      </w:pPr>
      <w:r w:rsidRPr="008E6D5F">
        <w:rPr>
          <w:rFonts w:eastAsia="Calibri" w:cs="Microsoft Sans Serif"/>
          <w:b/>
          <w:sz w:val="20"/>
          <w:szCs w:val="20"/>
        </w:rPr>
        <w:t xml:space="preserve">Potraživanja od kupaca – pregled nastalih i naplaćenih potraživanja prema grupama kupaca na dan </w:t>
      </w:r>
      <w:r w:rsidR="0080389D" w:rsidRPr="008E6D5F">
        <w:rPr>
          <w:rFonts w:eastAsia="Calibri" w:cs="Microsoft Sans Serif"/>
          <w:b/>
          <w:sz w:val="20"/>
          <w:szCs w:val="20"/>
        </w:rPr>
        <w:t>31.12.201</w:t>
      </w:r>
      <w:r w:rsidR="00010BF4" w:rsidRPr="008E6D5F">
        <w:rPr>
          <w:rFonts w:eastAsia="Calibri" w:cs="Microsoft Sans Serif"/>
          <w:b/>
          <w:sz w:val="20"/>
          <w:szCs w:val="20"/>
        </w:rPr>
        <w:t>6</w:t>
      </w:r>
      <w:r w:rsidRPr="008E6D5F">
        <w:rPr>
          <w:rFonts w:eastAsia="Calibri" w:cs="Microsoft Sans Serif"/>
          <w:b/>
          <w:sz w:val="20"/>
          <w:szCs w:val="20"/>
        </w:rPr>
        <w:t>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417"/>
        <w:gridCol w:w="1276"/>
      </w:tblGrid>
      <w:tr w:rsidR="008E6D5F" w:rsidRPr="008E6D5F" w:rsidTr="00F45479">
        <w:trPr>
          <w:trHeight w:val="397"/>
        </w:trPr>
        <w:tc>
          <w:tcPr>
            <w:tcW w:w="2553" w:type="dxa"/>
            <w:vMerge w:val="restart"/>
            <w:shd w:val="clear" w:color="auto" w:fill="auto"/>
            <w:noWrap/>
            <w:vAlign w:val="center"/>
            <w:hideMark/>
          </w:tcPr>
          <w:p w:rsidR="001C13E5" w:rsidRPr="008E6D5F" w:rsidRDefault="001C13E5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C13E5" w:rsidRPr="008E6D5F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POTRAŽIVANJA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C13E5" w:rsidRPr="008E6D5F" w:rsidRDefault="001C13E5" w:rsidP="00F45479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 xml:space="preserve">NAPLAĆENO do </w:t>
            </w:r>
            <w:r w:rsidR="0080389D" w:rsidRPr="008E6D5F">
              <w:rPr>
                <w:rFonts w:cs="Microsoft Sans Serif"/>
                <w:b/>
                <w:bCs/>
                <w:sz w:val="18"/>
                <w:szCs w:val="18"/>
              </w:rPr>
              <w:t>31.12.201</w:t>
            </w:r>
            <w:r w:rsidR="00010BF4" w:rsidRPr="008E6D5F">
              <w:rPr>
                <w:rFonts w:cs="Microsoft Sans Serif"/>
                <w:b/>
                <w:bCs/>
                <w:sz w:val="18"/>
                <w:szCs w:val="18"/>
              </w:rPr>
              <w:t>6</w:t>
            </w: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13E5" w:rsidRPr="008E6D5F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OTPIS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1C13E5" w:rsidRPr="008E6D5F" w:rsidRDefault="001C13E5" w:rsidP="00F90330">
            <w:pPr>
              <w:spacing w:before="40" w:after="40" w:line="276" w:lineRule="auto"/>
              <w:jc w:val="center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NENAPLAĆENA POTRAŽIVANJA</w:t>
            </w:r>
          </w:p>
        </w:tc>
      </w:tr>
      <w:tr w:rsidR="008E6D5F" w:rsidRPr="008E6D5F" w:rsidTr="00F45479">
        <w:trPr>
          <w:trHeight w:val="599"/>
        </w:trPr>
        <w:tc>
          <w:tcPr>
            <w:tcW w:w="2553" w:type="dxa"/>
            <w:vMerge/>
            <w:vAlign w:val="center"/>
            <w:hideMark/>
          </w:tcPr>
          <w:p w:rsidR="00F45479" w:rsidRPr="008E6D5F" w:rsidRDefault="00F45479" w:rsidP="00F45479">
            <w:pPr>
              <w:spacing w:before="40" w:after="40" w:line="276" w:lineRule="auto"/>
              <w:jc w:val="both"/>
              <w:rPr>
                <w:rFonts w:cs="Microsoft Sans Serif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>nastala do 31.12.201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5</w:t>
            </w:r>
            <w:r w:rsidRPr="008E6D5F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>nastala u 201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6</w:t>
            </w:r>
            <w:r w:rsidRPr="008E6D5F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6D5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>nastala do 31.12.201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5</w:t>
            </w:r>
            <w:r w:rsidRPr="008E6D5F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 xml:space="preserve">Potraživanja nastala u 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6D5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>nastala do 31.12.201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5</w:t>
            </w:r>
            <w:r w:rsidRPr="008E6D5F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 xml:space="preserve"> nastala do 31.12.201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5</w:t>
            </w:r>
            <w:r w:rsidRPr="008E6D5F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8E6D5F">
              <w:rPr>
                <w:rFonts w:cs="Arial"/>
                <w:bCs/>
                <w:sz w:val="18"/>
                <w:szCs w:val="18"/>
              </w:rPr>
              <w:t>Potraživanja</w:t>
            </w:r>
            <w:r w:rsidRPr="008E6D5F">
              <w:rPr>
                <w:rFonts w:cs="Arial"/>
                <w:bCs/>
                <w:sz w:val="18"/>
                <w:szCs w:val="18"/>
              </w:rPr>
              <w:br/>
              <w:t xml:space="preserve">nastala u </w:t>
            </w:r>
            <w:r w:rsidR="00010BF4" w:rsidRPr="008E6D5F">
              <w:rPr>
                <w:rFonts w:cs="Arial"/>
                <w:bCs/>
                <w:sz w:val="18"/>
                <w:szCs w:val="18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5479" w:rsidRPr="008E6D5F" w:rsidRDefault="00F45479" w:rsidP="00F45479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6D5F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</w:tr>
      <w:tr w:rsidR="008E6D5F" w:rsidRPr="008E6D5F" w:rsidTr="00F45479">
        <w:trPr>
          <w:trHeight w:val="20"/>
        </w:trPr>
        <w:tc>
          <w:tcPr>
            <w:tcW w:w="2553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CCCCFF" w:fill="C0C0C0"/>
            <w:noWrap/>
            <w:vAlign w:val="bottom"/>
            <w:hideMark/>
          </w:tcPr>
          <w:p w:rsidR="001C13E5" w:rsidRPr="008E6D5F" w:rsidRDefault="001C13E5" w:rsidP="00F45479">
            <w:pPr>
              <w:spacing w:before="20" w:after="20" w:line="240" w:lineRule="auto"/>
              <w:jc w:val="center"/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HZZO - glavarina i programi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2.367.403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28.085.758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30.453.161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2.367.403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25.780.390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28.147.793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2.305.368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2.305.368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HZZO - mikrobiologija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2.473.494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12.553.606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15.027.100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2.108.106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9.957.734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12.065.840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365.388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2.595.872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2.595.872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DEEAF6" w:themeFill="accent1" w:themeFillTint="33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bCs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bCs/>
                <w:sz w:val="18"/>
                <w:szCs w:val="18"/>
                <w:lang w:eastAsia="hr-HR"/>
              </w:rPr>
              <w:t>UKUPNO HZZO</w:t>
            </w:r>
          </w:p>
        </w:tc>
        <w:tc>
          <w:tcPr>
            <w:tcW w:w="1275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4.840.897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40.639.364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45.480.261</w:t>
            </w:r>
          </w:p>
        </w:tc>
        <w:tc>
          <w:tcPr>
            <w:tcW w:w="1275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4.475.509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35.738.124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40.213.633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365.388</w:t>
            </w:r>
          </w:p>
        </w:tc>
        <w:tc>
          <w:tcPr>
            <w:tcW w:w="1276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DEEBF7" w:fill="DEEBF7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4.901.240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4.901.240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Potraživanja od zdravstvenih ustanova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1.007.423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3.374.566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4.381.989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1.004.411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2.450.351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3.454.762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3.012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924.215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927.227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Potraživanja od privrede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5.279.902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27.965.542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33.245.444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5.180.318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20.784.472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25.964.790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99.584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7.181.070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7.280.654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Potraživanja od državnih i županijskih ustanova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274.068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13.168.613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13.442.681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272.380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12.544.112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12.816.492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1.688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624.501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626.189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934.314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6.222.328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7.156.642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857.644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5.234.138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6.091.802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76.650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988.190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1.064.840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010BF4" w:rsidRPr="008E6D5F" w:rsidRDefault="00010BF4" w:rsidP="00010BF4">
            <w:pPr>
              <w:spacing w:beforeLines="20" w:before="48" w:afterLines="20" w:after="48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E6D5F">
              <w:rPr>
                <w:rFonts w:eastAsia="Times New Roman" w:cs="Arial"/>
                <w:sz w:val="18"/>
                <w:szCs w:val="18"/>
                <w:lang w:eastAsia="hr-HR"/>
              </w:rPr>
              <w:t>Tuženi kupci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1.947.420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248.559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2.195.979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419.946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419.946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1.527.474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248.559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8E6D5F">
              <w:rPr>
                <w:rFonts w:asciiTheme="majorHAnsi" w:hAnsiTheme="majorHAnsi" w:cstheme="majorHAnsi"/>
                <w:sz w:val="18"/>
                <w:szCs w:val="18"/>
              </w:rPr>
              <w:t>1.776.033</w:t>
            </w:r>
          </w:p>
        </w:tc>
      </w:tr>
      <w:tr w:rsidR="008E6D5F" w:rsidRPr="008E6D5F" w:rsidTr="00010BF4">
        <w:trPr>
          <w:trHeight w:val="397"/>
        </w:trPr>
        <w:tc>
          <w:tcPr>
            <w:tcW w:w="2553" w:type="dxa"/>
            <w:shd w:val="clear" w:color="auto" w:fill="DEEAF6" w:themeFill="accent1" w:themeFillTint="33"/>
            <w:noWrap/>
            <w:vAlign w:val="center"/>
            <w:hideMark/>
          </w:tcPr>
          <w:p w:rsidR="00010BF4" w:rsidRPr="008E6D5F" w:rsidRDefault="00010BF4" w:rsidP="00010BF4">
            <w:pPr>
              <w:spacing w:after="0" w:line="240" w:lineRule="auto"/>
              <w:rPr>
                <w:rFonts w:cs="Microsoft Sans Serif"/>
                <w:b/>
                <w:bCs/>
                <w:sz w:val="18"/>
                <w:szCs w:val="18"/>
              </w:rPr>
            </w:pPr>
            <w:r w:rsidRPr="008E6D5F">
              <w:rPr>
                <w:rFonts w:cs="Microsoft Sans Serif"/>
                <w:b/>
                <w:bCs/>
                <w:sz w:val="18"/>
                <w:szCs w:val="18"/>
              </w:rPr>
              <w:t>SVEUKUPNO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14.284.024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91.618.972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105.902.996</w:t>
            </w:r>
          </w:p>
        </w:tc>
        <w:tc>
          <w:tcPr>
            <w:tcW w:w="1275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12.210.248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76.751.197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88.961.425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365.388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1.708.408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14.867.795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010BF4" w:rsidRPr="008E6D5F" w:rsidRDefault="00010BF4" w:rsidP="00010BF4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6D5F">
              <w:rPr>
                <w:b/>
                <w:sz w:val="18"/>
                <w:szCs w:val="18"/>
              </w:rPr>
              <w:t>16.576.183</w:t>
            </w:r>
          </w:p>
        </w:tc>
      </w:tr>
    </w:tbl>
    <w:p w:rsidR="006419D9" w:rsidRPr="008E6D5F" w:rsidRDefault="006419D9" w:rsidP="008B11B0">
      <w:pPr>
        <w:spacing w:before="40" w:after="40" w:line="276" w:lineRule="auto"/>
        <w:jc w:val="both"/>
      </w:pPr>
    </w:p>
    <w:sectPr w:rsidR="006419D9" w:rsidRPr="008E6D5F" w:rsidSect="00C41646">
      <w:headerReference w:type="default" r:id="rId14"/>
      <w:pgSz w:w="16840" w:h="11907" w:orient="landscape" w:code="9"/>
      <w:pgMar w:top="1418" w:right="1985" w:bottom="907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6A" w:rsidRDefault="0048356A" w:rsidP="001C13E5">
      <w:pPr>
        <w:spacing w:after="0" w:line="240" w:lineRule="auto"/>
      </w:pPr>
      <w:r>
        <w:separator/>
      </w:r>
    </w:p>
  </w:endnote>
  <w:endnote w:type="continuationSeparator" w:id="0">
    <w:p w:rsidR="0048356A" w:rsidRDefault="0048356A" w:rsidP="001C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36" w:rsidRDefault="009368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D" w:rsidRDefault="0048356A" w:rsidP="00F90330">
    <w:pPr>
      <w:tabs>
        <w:tab w:val="left" w:pos="5970"/>
      </w:tabs>
    </w:pPr>
    <w:sdt>
      <w:sdtPr>
        <w:id w:val="1703514940"/>
        <w:docPartObj>
          <w:docPartGallery w:val="Page Numbers (Bottom of Page)"/>
          <w:docPartUnique/>
        </w:docPartObj>
      </w:sdtPr>
      <w:sdtEndPr/>
      <w:sdtContent>
        <w:r w:rsidR="00F7224D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Pravokutn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24D" w:rsidRPr="001F61C6" w:rsidRDefault="00F7224D" w:rsidP="001F61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</w:pP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72753">
                                <w:rPr>
                                  <w:noProof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F61C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936836">
                                <w:rPr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8" o:spid="_x0000_s1027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IKBZsvJAgAAy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F7224D" w:rsidRPr="001F61C6" w:rsidRDefault="00F7224D" w:rsidP="001F61C6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</w:pP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972753">
                          <w:rPr>
                            <w:noProof/>
                            <w:color w:val="767171" w:themeColor="background2" w:themeShade="80"/>
                            <w:sz w:val="20"/>
                            <w:szCs w:val="20"/>
                          </w:rPr>
                          <w:t>7</w:t>
                        </w:r>
                        <w:r w:rsidRPr="001F61C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fldChar w:fldCharType="end"/>
                        </w:r>
                        <w:r w:rsidR="00936836">
                          <w:rPr>
                            <w:color w:val="767171" w:themeColor="background2" w:themeShade="80"/>
                            <w:sz w:val="20"/>
                            <w:szCs w:val="20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224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36" w:rsidRDefault="00936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6A" w:rsidRDefault="0048356A" w:rsidP="001C13E5">
      <w:pPr>
        <w:spacing w:after="0" w:line="240" w:lineRule="auto"/>
      </w:pPr>
      <w:r>
        <w:separator/>
      </w:r>
    </w:p>
  </w:footnote>
  <w:footnote w:type="continuationSeparator" w:id="0">
    <w:p w:rsidR="0048356A" w:rsidRDefault="0048356A" w:rsidP="001C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36" w:rsidRDefault="009368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D" w:rsidRDefault="00F7224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CBC8699" wp14:editId="378452E1">
          <wp:simplePos x="0" y="0"/>
          <wp:positionH relativeFrom="column">
            <wp:posOffset>-906145</wp:posOffset>
          </wp:positionH>
          <wp:positionV relativeFrom="page">
            <wp:posOffset>-30756</wp:posOffset>
          </wp:positionV>
          <wp:extent cx="7562215" cy="10464800"/>
          <wp:effectExtent l="0" t="0" r="635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Memorandum_zav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4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6C5D86" wp14:editId="5A4CCB13">
              <wp:simplePos x="0" y="0"/>
              <wp:positionH relativeFrom="column">
                <wp:posOffset>3806027</wp:posOffset>
              </wp:positionH>
              <wp:positionV relativeFrom="paragraph">
                <wp:posOffset>46414</wp:posOffset>
              </wp:positionV>
              <wp:extent cx="0" cy="652130"/>
              <wp:effectExtent l="0" t="0" r="19050" b="3429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213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2958A3" id="Ravni poveznik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.65pt" to="299.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17793C" wp14:editId="5292CAC3">
              <wp:simplePos x="0" y="0"/>
              <wp:positionH relativeFrom="column">
                <wp:posOffset>4244975</wp:posOffset>
              </wp:positionH>
              <wp:positionV relativeFrom="paragraph">
                <wp:posOffset>170653</wp:posOffset>
              </wp:positionV>
              <wp:extent cx="2360930" cy="1404620"/>
              <wp:effectExtent l="0" t="0" r="8890" b="190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24D" w:rsidRPr="001C13E5" w:rsidRDefault="00F7224D" w:rsidP="001C13E5">
                          <w:pPr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17793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34.25pt;margin-top:13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" stroked="f">
              <v:textbox style="mso-fit-shape-to-text:t">
                <w:txbxContent>
                  <w:p w:rsidR="00F7224D" w:rsidRPr="001C13E5" w:rsidRDefault="00F7224D" w:rsidP="001C13E5">
                    <w:pPr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36" w:rsidRDefault="0093683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4D" w:rsidRDefault="00F7224D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9BEB64" wp14:editId="19A20969">
              <wp:simplePos x="0" y="0"/>
              <wp:positionH relativeFrom="column">
                <wp:posOffset>3679190</wp:posOffset>
              </wp:positionH>
              <wp:positionV relativeFrom="paragraph">
                <wp:posOffset>129053</wp:posOffset>
              </wp:positionV>
              <wp:extent cx="2360930" cy="1404620"/>
              <wp:effectExtent l="0" t="0" r="8890" b="1905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24D" w:rsidRPr="001C13E5" w:rsidRDefault="00F7224D" w:rsidP="003014F8">
                          <w:pPr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BEB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9.7pt;margin-top:10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" stroked="f">
              <v:textbox style="mso-fit-shape-to-text:t">
                <w:txbxContent>
                  <w:p w:rsidR="00F7224D" w:rsidRPr="001C13E5" w:rsidRDefault="00F7224D" w:rsidP="003014F8">
                    <w:pPr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080B15" wp14:editId="3D9DEF55">
              <wp:simplePos x="0" y="0"/>
              <wp:positionH relativeFrom="column">
                <wp:posOffset>3437654</wp:posOffset>
              </wp:positionH>
              <wp:positionV relativeFrom="paragraph">
                <wp:posOffset>58169</wp:posOffset>
              </wp:positionV>
              <wp:extent cx="0" cy="623777"/>
              <wp:effectExtent l="0" t="0" r="19050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3777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6A1A13" id="Ravni poveznik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4.6pt" to="270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" strokecolor="#aeaaaa [2414]" strokeweight=".5pt">
              <v:stroke joinstyle="miter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A648E4" wp14:editId="484712F7">
          <wp:simplePos x="0" y="0"/>
          <wp:positionH relativeFrom="column">
            <wp:posOffset>-893135</wp:posOffset>
          </wp:positionH>
          <wp:positionV relativeFrom="page">
            <wp:posOffset>3175</wp:posOffset>
          </wp:positionV>
          <wp:extent cx="7562215" cy="10680065"/>
          <wp:effectExtent l="0" t="0" r="635" b="6985"/>
          <wp:wrapNone/>
          <wp:docPr id="13" name="Slika 13" descr="01_Memorandum_zav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Memorandum_zav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F8"/>
    <w:multiLevelType w:val="hybridMultilevel"/>
    <w:tmpl w:val="D864EF9C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34A5"/>
    <w:multiLevelType w:val="hybridMultilevel"/>
    <w:tmpl w:val="15222202"/>
    <w:lvl w:ilvl="0" w:tplc="13E0CE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8615B4"/>
    <w:multiLevelType w:val="hybridMultilevel"/>
    <w:tmpl w:val="6C90596E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b/>
        <w:vertAlign w:val="baseli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A1977"/>
    <w:multiLevelType w:val="hybridMultilevel"/>
    <w:tmpl w:val="605AB036"/>
    <w:lvl w:ilvl="0" w:tplc="269C79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143"/>
    <w:multiLevelType w:val="hybridMultilevel"/>
    <w:tmpl w:val="A0B25490"/>
    <w:lvl w:ilvl="0" w:tplc="EC5C23F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5" w15:restartNumberingAfterBreak="0">
    <w:nsid w:val="150D43AF"/>
    <w:multiLevelType w:val="hybridMultilevel"/>
    <w:tmpl w:val="9698C30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A8D"/>
    <w:multiLevelType w:val="hybridMultilevel"/>
    <w:tmpl w:val="05FE6030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0212D"/>
    <w:multiLevelType w:val="hybridMultilevel"/>
    <w:tmpl w:val="BD8C2690"/>
    <w:lvl w:ilvl="0" w:tplc="BCB2933A">
      <w:start w:val="6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21BE"/>
    <w:multiLevelType w:val="multilevel"/>
    <w:tmpl w:val="D864EF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C0F1E"/>
    <w:multiLevelType w:val="hybridMultilevel"/>
    <w:tmpl w:val="494416C6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74960AB"/>
    <w:multiLevelType w:val="hybridMultilevel"/>
    <w:tmpl w:val="7092225A"/>
    <w:lvl w:ilvl="0" w:tplc="BFCC96D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391F"/>
    <w:multiLevelType w:val="hybridMultilevel"/>
    <w:tmpl w:val="3FF03276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1F98"/>
    <w:multiLevelType w:val="hybridMultilevel"/>
    <w:tmpl w:val="9D428F52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7D30"/>
    <w:multiLevelType w:val="hybridMultilevel"/>
    <w:tmpl w:val="C2826F1A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581A"/>
    <w:multiLevelType w:val="hybridMultilevel"/>
    <w:tmpl w:val="333ABB6E"/>
    <w:lvl w:ilvl="0" w:tplc="B874E92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9EF53B3"/>
    <w:multiLevelType w:val="hybridMultilevel"/>
    <w:tmpl w:val="8DFC67BE"/>
    <w:lvl w:ilvl="0" w:tplc="EC5C23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144AB"/>
    <w:multiLevelType w:val="hybridMultilevel"/>
    <w:tmpl w:val="47365914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12F"/>
    <w:multiLevelType w:val="hybridMultilevel"/>
    <w:tmpl w:val="7D24697A"/>
    <w:lvl w:ilvl="0" w:tplc="E08E2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707"/>
    <w:multiLevelType w:val="hybridMultilevel"/>
    <w:tmpl w:val="A0820362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52DF0132"/>
    <w:multiLevelType w:val="hybridMultilevel"/>
    <w:tmpl w:val="01E878CC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1B9E"/>
    <w:multiLevelType w:val="hybridMultilevel"/>
    <w:tmpl w:val="7BD075F8"/>
    <w:lvl w:ilvl="0" w:tplc="269C79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7BB4"/>
    <w:multiLevelType w:val="hybridMultilevel"/>
    <w:tmpl w:val="03FC2258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75030"/>
    <w:multiLevelType w:val="hybridMultilevel"/>
    <w:tmpl w:val="3A7AE212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A28"/>
    <w:multiLevelType w:val="hybridMultilevel"/>
    <w:tmpl w:val="39EA0F84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792B2E52"/>
    <w:multiLevelType w:val="hybridMultilevel"/>
    <w:tmpl w:val="554E2944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7"/>
  </w:num>
  <w:num w:numId="5">
    <w:abstractNumId w:val="24"/>
  </w:num>
  <w:num w:numId="6">
    <w:abstractNumId w:val="0"/>
  </w:num>
  <w:num w:numId="7">
    <w:abstractNumId w:val="8"/>
  </w:num>
  <w:num w:numId="8">
    <w:abstractNumId w:val="16"/>
  </w:num>
  <w:num w:numId="9">
    <w:abstractNumId w:val="14"/>
  </w:num>
  <w:num w:numId="10">
    <w:abstractNumId w:val="13"/>
  </w:num>
  <w:num w:numId="11">
    <w:abstractNumId w:val="21"/>
  </w:num>
  <w:num w:numId="12">
    <w:abstractNumId w:val="2"/>
  </w:num>
  <w:num w:numId="13">
    <w:abstractNumId w:val="6"/>
  </w:num>
  <w:num w:numId="14">
    <w:abstractNumId w:val="12"/>
  </w:num>
  <w:num w:numId="15">
    <w:abstractNumId w:val="19"/>
  </w:num>
  <w:num w:numId="16">
    <w:abstractNumId w:val="22"/>
  </w:num>
  <w:num w:numId="17">
    <w:abstractNumId w:val="1"/>
  </w:num>
  <w:num w:numId="18">
    <w:abstractNumId w:val="11"/>
  </w:num>
  <w:num w:numId="19">
    <w:abstractNumId w:val="20"/>
  </w:num>
  <w:num w:numId="20">
    <w:abstractNumId w:val="15"/>
  </w:num>
  <w:num w:numId="21">
    <w:abstractNumId w:val="3"/>
  </w:num>
  <w:num w:numId="22">
    <w:abstractNumId w:val="4"/>
  </w:num>
  <w:num w:numId="23">
    <w:abstractNumId w:val="1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5"/>
    <w:rsid w:val="00010BF4"/>
    <w:rsid w:val="000369D3"/>
    <w:rsid w:val="00040C56"/>
    <w:rsid w:val="000641D6"/>
    <w:rsid w:val="0009370A"/>
    <w:rsid w:val="00097FA4"/>
    <w:rsid w:val="000A016A"/>
    <w:rsid w:val="000C1C30"/>
    <w:rsid w:val="000F6498"/>
    <w:rsid w:val="00122C5F"/>
    <w:rsid w:val="00124580"/>
    <w:rsid w:val="00136EB1"/>
    <w:rsid w:val="00164FEE"/>
    <w:rsid w:val="00165E06"/>
    <w:rsid w:val="00185CDE"/>
    <w:rsid w:val="00191100"/>
    <w:rsid w:val="001A5206"/>
    <w:rsid w:val="001B4177"/>
    <w:rsid w:val="001C13E5"/>
    <w:rsid w:val="001C1A70"/>
    <w:rsid w:val="001C1D5A"/>
    <w:rsid w:val="001D474C"/>
    <w:rsid w:val="001F61C6"/>
    <w:rsid w:val="002238E2"/>
    <w:rsid w:val="00236025"/>
    <w:rsid w:val="0025711F"/>
    <w:rsid w:val="002848CA"/>
    <w:rsid w:val="002A657F"/>
    <w:rsid w:val="002B1F35"/>
    <w:rsid w:val="002D0822"/>
    <w:rsid w:val="002D1F50"/>
    <w:rsid w:val="003014F8"/>
    <w:rsid w:val="003054D1"/>
    <w:rsid w:val="00307F38"/>
    <w:rsid w:val="00322819"/>
    <w:rsid w:val="0033500F"/>
    <w:rsid w:val="0034032A"/>
    <w:rsid w:val="00356A50"/>
    <w:rsid w:val="00377CCC"/>
    <w:rsid w:val="0038360F"/>
    <w:rsid w:val="00397B53"/>
    <w:rsid w:val="00397BBF"/>
    <w:rsid w:val="003A7DB2"/>
    <w:rsid w:val="003B7116"/>
    <w:rsid w:val="003D6CCA"/>
    <w:rsid w:val="003E6EAF"/>
    <w:rsid w:val="003F03BC"/>
    <w:rsid w:val="003F6820"/>
    <w:rsid w:val="00410200"/>
    <w:rsid w:val="00423A50"/>
    <w:rsid w:val="00424A1D"/>
    <w:rsid w:val="004321F7"/>
    <w:rsid w:val="00437C97"/>
    <w:rsid w:val="00442521"/>
    <w:rsid w:val="00444D07"/>
    <w:rsid w:val="00455D29"/>
    <w:rsid w:val="00466BC2"/>
    <w:rsid w:val="0048356A"/>
    <w:rsid w:val="004911B1"/>
    <w:rsid w:val="004D0810"/>
    <w:rsid w:val="004F0124"/>
    <w:rsid w:val="0050481D"/>
    <w:rsid w:val="00512A5A"/>
    <w:rsid w:val="005244CA"/>
    <w:rsid w:val="00530AB3"/>
    <w:rsid w:val="00532BF2"/>
    <w:rsid w:val="00556A9F"/>
    <w:rsid w:val="00585BD7"/>
    <w:rsid w:val="00594F92"/>
    <w:rsid w:val="005978AE"/>
    <w:rsid w:val="005A08C4"/>
    <w:rsid w:val="005A2BBB"/>
    <w:rsid w:val="005E231A"/>
    <w:rsid w:val="005E58F6"/>
    <w:rsid w:val="00600BAA"/>
    <w:rsid w:val="00624142"/>
    <w:rsid w:val="0062572C"/>
    <w:rsid w:val="00636091"/>
    <w:rsid w:val="006419D9"/>
    <w:rsid w:val="00646570"/>
    <w:rsid w:val="0065289B"/>
    <w:rsid w:val="006535FD"/>
    <w:rsid w:val="00680FC3"/>
    <w:rsid w:val="006971E1"/>
    <w:rsid w:val="006B5FF9"/>
    <w:rsid w:val="006C7E3F"/>
    <w:rsid w:val="006D3FFE"/>
    <w:rsid w:val="006D4192"/>
    <w:rsid w:val="006E2293"/>
    <w:rsid w:val="0074404C"/>
    <w:rsid w:val="00751A17"/>
    <w:rsid w:val="00786DCB"/>
    <w:rsid w:val="00793210"/>
    <w:rsid w:val="00793BFF"/>
    <w:rsid w:val="007A6263"/>
    <w:rsid w:val="007E1A88"/>
    <w:rsid w:val="0080389D"/>
    <w:rsid w:val="0081176C"/>
    <w:rsid w:val="008315D9"/>
    <w:rsid w:val="00832869"/>
    <w:rsid w:val="00841CAC"/>
    <w:rsid w:val="0084389C"/>
    <w:rsid w:val="008469CA"/>
    <w:rsid w:val="00881E63"/>
    <w:rsid w:val="00886692"/>
    <w:rsid w:val="008A20D7"/>
    <w:rsid w:val="008A5C5B"/>
    <w:rsid w:val="008B11B0"/>
    <w:rsid w:val="008B2E68"/>
    <w:rsid w:val="008C09F4"/>
    <w:rsid w:val="008E37ED"/>
    <w:rsid w:val="008E6D5F"/>
    <w:rsid w:val="00903171"/>
    <w:rsid w:val="00912282"/>
    <w:rsid w:val="00916428"/>
    <w:rsid w:val="009361F8"/>
    <w:rsid w:val="00936836"/>
    <w:rsid w:val="00943CD2"/>
    <w:rsid w:val="0096376C"/>
    <w:rsid w:val="00972753"/>
    <w:rsid w:val="00987363"/>
    <w:rsid w:val="0099007D"/>
    <w:rsid w:val="00990F9F"/>
    <w:rsid w:val="009A317C"/>
    <w:rsid w:val="009B680C"/>
    <w:rsid w:val="009C1797"/>
    <w:rsid w:val="00A05E98"/>
    <w:rsid w:val="00A17F97"/>
    <w:rsid w:val="00A30FED"/>
    <w:rsid w:val="00A47000"/>
    <w:rsid w:val="00A6346B"/>
    <w:rsid w:val="00A86769"/>
    <w:rsid w:val="00A92D2B"/>
    <w:rsid w:val="00AA1964"/>
    <w:rsid w:val="00AF65FD"/>
    <w:rsid w:val="00B44E69"/>
    <w:rsid w:val="00B47921"/>
    <w:rsid w:val="00B558CE"/>
    <w:rsid w:val="00B75604"/>
    <w:rsid w:val="00BB517E"/>
    <w:rsid w:val="00BC3DC2"/>
    <w:rsid w:val="00C22D33"/>
    <w:rsid w:val="00C369EA"/>
    <w:rsid w:val="00C41646"/>
    <w:rsid w:val="00C63FBE"/>
    <w:rsid w:val="00C67B62"/>
    <w:rsid w:val="00C81B97"/>
    <w:rsid w:val="00C92BE6"/>
    <w:rsid w:val="00C97BA5"/>
    <w:rsid w:val="00CD13E3"/>
    <w:rsid w:val="00CE089A"/>
    <w:rsid w:val="00CF13A0"/>
    <w:rsid w:val="00CF1A9D"/>
    <w:rsid w:val="00D03CB6"/>
    <w:rsid w:val="00D35F9B"/>
    <w:rsid w:val="00D46E09"/>
    <w:rsid w:val="00D51915"/>
    <w:rsid w:val="00D75E68"/>
    <w:rsid w:val="00D82ECF"/>
    <w:rsid w:val="00D90260"/>
    <w:rsid w:val="00D9152A"/>
    <w:rsid w:val="00DC6A72"/>
    <w:rsid w:val="00DF645F"/>
    <w:rsid w:val="00E466B1"/>
    <w:rsid w:val="00E76954"/>
    <w:rsid w:val="00E9052A"/>
    <w:rsid w:val="00EB61A5"/>
    <w:rsid w:val="00ED2AB1"/>
    <w:rsid w:val="00EE2A79"/>
    <w:rsid w:val="00EF52B4"/>
    <w:rsid w:val="00EF6558"/>
    <w:rsid w:val="00F13B1A"/>
    <w:rsid w:val="00F253BE"/>
    <w:rsid w:val="00F310CF"/>
    <w:rsid w:val="00F3345A"/>
    <w:rsid w:val="00F45479"/>
    <w:rsid w:val="00F465C1"/>
    <w:rsid w:val="00F541A3"/>
    <w:rsid w:val="00F7159C"/>
    <w:rsid w:val="00F7224D"/>
    <w:rsid w:val="00F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DBA0"/>
  <w15:chartTrackingRefBased/>
  <w15:docId w15:val="{E4C10E06-B545-4411-BE4D-8D8F640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13E5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C13E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C13E5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C13E5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C13E5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1C13E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1C13E5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1C13E5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1C13E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03CB6"/>
    <w:rPr>
      <w:rFonts w:asciiTheme="minorHAnsi" w:hAnsiTheme="minorHAnsi"/>
      <w:b/>
      <w:bCs/>
      <w:sz w:val="22"/>
    </w:rPr>
  </w:style>
  <w:style w:type="paragraph" w:styleId="Zaglavlje">
    <w:name w:val="header"/>
    <w:basedOn w:val="Normal"/>
    <w:link w:val="ZaglavljeChar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3E5"/>
  </w:style>
  <w:style w:type="paragraph" w:styleId="Podnoje">
    <w:name w:val="footer"/>
    <w:basedOn w:val="Normal"/>
    <w:link w:val="PodnojeChar"/>
    <w:uiPriority w:val="99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3E5"/>
  </w:style>
  <w:style w:type="character" w:customStyle="1" w:styleId="Naslov1Char">
    <w:name w:val="Naslov 1 Char"/>
    <w:basedOn w:val="Zadanifontodlomka"/>
    <w:link w:val="Naslov1"/>
    <w:rsid w:val="001C13E5"/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rsid w:val="001C13E5"/>
    <w:rPr>
      <w:rFonts w:ascii="Cambria" w:eastAsia="Times New Roman" w:hAnsi="Cambria" w:cs="Times New Roman"/>
      <w:smallCap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C13E5"/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1C13E5"/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C13E5"/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1C13E5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eastAsia="hr-HR"/>
    </w:rPr>
  </w:style>
  <w:style w:type="character" w:customStyle="1" w:styleId="Naslov7Char">
    <w:name w:val="Naslov 7 Char"/>
    <w:basedOn w:val="Zadanifontodlomka"/>
    <w:link w:val="Naslov7"/>
    <w:rsid w:val="001C13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1C13E5"/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1C13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styleId="Hiperveza">
    <w:name w:val="Hyperlink"/>
    <w:uiPriority w:val="99"/>
    <w:rsid w:val="001C13E5"/>
    <w:rPr>
      <w:color w:val="0000FF"/>
      <w:u w:val="single"/>
    </w:rPr>
  </w:style>
  <w:style w:type="table" w:styleId="Reetkatablice">
    <w:name w:val="Table Grid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ase">
    <w:name w:val="Header Base"/>
    <w:basedOn w:val="Tijeloteksta"/>
    <w:rsid w:val="001C13E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hAnsi="Garamond"/>
      <w:sz w:val="22"/>
      <w:szCs w:val="20"/>
      <w:lang w:val="en-AU"/>
    </w:rPr>
  </w:style>
  <w:style w:type="paragraph" w:styleId="Tijeloteksta">
    <w:name w:val="Body Text"/>
    <w:basedOn w:val="Normal"/>
    <w:link w:val="TijelotekstaChar"/>
    <w:rsid w:val="001C13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1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1C13E5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3E5"/>
    <w:rPr>
      <w:rFonts w:ascii="Tahoma" w:eastAsia="Times New Roman" w:hAnsi="Tahoma" w:cs="Tahoma"/>
      <w:sz w:val="16"/>
      <w:szCs w:val="16"/>
      <w:lang w:eastAsia="hr-HR"/>
    </w:rPr>
  </w:style>
  <w:style w:type="table" w:styleId="Reetkatablice1">
    <w:name w:val="Table Grid 1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Bezpopisa"/>
    <w:uiPriority w:val="99"/>
    <w:semiHidden/>
    <w:unhideWhenUsed/>
    <w:rsid w:val="001C13E5"/>
  </w:style>
  <w:style w:type="table" w:styleId="Web-tablica3">
    <w:name w:val="Table Web 3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qFormat/>
    <w:rsid w:val="001C13E5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1C13E5"/>
    <w:rPr>
      <w:rFonts w:ascii="Cambria" w:eastAsia="Times New Roman" w:hAnsi="Cambria" w:cs="Times New Roman"/>
      <w:smallCaps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customStyle="1" w:styleId="PodnaslovChar">
    <w:name w:val="Podnaslov Char"/>
    <w:basedOn w:val="Zadanifontodlomka"/>
    <w:link w:val="Podnaslov"/>
    <w:rsid w:val="001C13E5"/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styleId="Istaknuto">
    <w:name w:val="Emphasis"/>
    <w:qFormat/>
    <w:rsid w:val="001C13E5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qFormat/>
    <w:rsid w:val="001C13E5"/>
    <w:pPr>
      <w:spacing w:after="0" w:line="240" w:lineRule="auto"/>
    </w:pPr>
    <w:rPr>
      <w:rFonts w:ascii="Cambria" w:eastAsia="Times New Roman" w:hAnsi="Cambria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1C13E5"/>
    <w:rPr>
      <w:rFonts w:ascii="Cambria" w:eastAsia="Times New Roman" w:hAnsi="Cambria" w:cs="Times New Roman"/>
      <w:lang w:eastAsia="hr-HR"/>
    </w:rPr>
  </w:style>
  <w:style w:type="paragraph" w:styleId="Odlomakpopisa">
    <w:name w:val="List Paragraph"/>
    <w:basedOn w:val="Normal"/>
    <w:qFormat/>
    <w:rsid w:val="001C13E5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styleId="Citat">
    <w:name w:val="Quote"/>
    <w:basedOn w:val="Normal"/>
    <w:next w:val="Normal"/>
    <w:link w:val="Citat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CitatChar">
    <w:name w:val="Citat Char"/>
    <w:basedOn w:val="Zadanifontodlomka"/>
    <w:link w:val="Citat"/>
    <w:rsid w:val="001C13E5"/>
    <w:rPr>
      <w:rFonts w:ascii="Cambria" w:eastAsia="Times New Roman" w:hAnsi="Cambria" w:cs="Times New Roman"/>
      <w:i/>
      <w:iCs/>
      <w:lang w:eastAsia="hr-HR"/>
    </w:rPr>
  </w:style>
  <w:style w:type="paragraph" w:styleId="Naglaencitat">
    <w:name w:val="Intense Quote"/>
    <w:basedOn w:val="Normal"/>
    <w:next w:val="Normal"/>
    <w:link w:val="NaglaencitatChar"/>
    <w:qFormat/>
    <w:rsid w:val="001C13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NaglaencitatChar">
    <w:name w:val="Naglašen citat Char"/>
    <w:basedOn w:val="Zadanifontodlomka"/>
    <w:link w:val="Naglaencitat"/>
    <w:rsid w:val="001C13E5"/>
    <w:rPr>
      <w:rFonts w:ascii="Cambria" w:eastAsia="Times New Roman" w:hAnsi="Cambria" w:cs="Times New Roman"/>
      <w:i/>
      <w:iCs/>
      <w:lang w:eastAsia="hr-HR"/>
    </w:rPr>
  </w:style>
  <w:style w:type="character" w:styleId="Neupadljivoisticanje">
    <w:name w:val="Subtle Emphasis"/>
    <w:qFormat/>
    <w:rsid w:val="001C13E5"/>
    <w:rPr>
      <w:i/>
      <w:iCs/>
    </w:rPr>
  </w:style>
  <w:style w:type="character" w:styleId="Jakoisticanje">
    <w:name w:val="Intense Emphasis"/>
    <w:qFormat/>
    <w:rsid w:val="001C13E5"/>
    <w:rPr>
      <w:b/>
      <w:bCs/>
      <w:i/>
      <w:iCs/>
    </w:rPr>
  </w:style>
  <w:style w:type="character" w:styleId="Neupadljivareferenca">
    <w:name w:val="Subtle Reference"/>
    <w:qFormat/>
    <w:rsid w:val="001C13E5"/>
    <w:rPr>
      <w:smallCaps/>
    </w:rPr>
  </w:style>
  <w:style w:type="character" w:styleId="Istaknutareferenca">
    <w:name w:val="Intense Reference"/>
    <w:qFormat/>
    <w:rsid w:val="001C13E5"/>
    <w:rPr>
      <w:b/>
      <w:bCs/>
      <w:smallCaps/>
    </w:rPr>
  </w:style>
  <w:style w:type="character" w:styleId="Naslovknjige">
    <w:name w:val="Book Title"/>
    <w:qFormat/>
    <w:rsid w:val="001C13E5"/>
    <w:rPr>
      <w:i/>
      <w:iCs/>
      <w:smallCaps/>
      <w:spacing w:val="5"/>
    </w:rPr>
  </w:style>
  <w:style w:type="paragraph" w:styleId="Sadraj1">
    <w:name w:val="toc 1"/>
    <w:basedOn w:val="Normal"/>
    <w:next w:val="Normal"/>
    <w:autoRedefine/>
    <w:unhideWhenUsed/>
    <w:rsid w:val="001C13E5"/>
    <w:pPr>
      <w:spacing w:after="200" w:line="276" w:lineRule="auto"/>
    </w:pPr>
    <w:rPr>
      <w:rFonts w:ascii="Cambria" w:eastAsia="Times New Roman" w:hAnsi="Cambria" w:cs="Times New Roman"/>
      <w:lang w:eastAsia="hr-HR"/>
    </w:rPr>
  </w:style>
  <w:style w:type="paragraph" w:styleId="Sadraj2">
    <w:name w:val="toc 2"/>
    <w:basedOn w:val="Normal"/>
    <w:next w:val="Normal"/>
    <w:autoRedefine/>
    <w:unhideWhenUsed/>
    <w:rsid w:val="001C13E5"/>
    <w:pPr>
      <w:spacing w:after="200" w:line="276" w:lineRule="auto"/>
      <w:ind w:left="220"/>
    </w:pPr>
    <w:rPr>
      <w:rFonts w:ascii="Cambria" w:eastAsia="Times New Roman" w:hAnsi="Cambria" w:cs="Times New Roman"/>
      <w:lang w:eastAsia="hr-HR"/>
    </w:rPr>
  </w:style>
  <w:style w:type="paragraph" w:customStyle="1" w:styleId="xl65">
    <w:name w:val="xl65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68">
    <w:name w:val="xl6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71">
    <w:name w:val="xl7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6">
    <w:name w:val="xl7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7">
    <w:name w:val="xl7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8">
    <w:name w:val="xl7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0">
    <w:name w:val="xl80"/>
    <w:basedOn w:val="Normal"/>
    <w:rsid w:val="001C13E5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1">
    <w:name w:val="xl81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2">
    <w:name w:val="xl82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3">
    <w:name w:val="xl8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5">
    <w:name w:val="xl8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7">
    <w:name w:val="xl87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1">
    <w:name w:val="xl9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3">
    <w:name w:val="xl9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8">
    <w:name w:val="xl98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1C13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112">
    <w:name w:val="xl112"/>
    <w:basedOn w:val="Normal"/>
    <w:rsid w:val="001C13E5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C13E5"/>
    <w:pPr>
      <w:pBdr>
        <w:top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1C13E5"/>
    <w:pPr>
      <w:pBdr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1C1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17">
    <w:name w:val="xl117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26">
    <w:name w:val="xl12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30">
    <w:name w:val="xl130"/>
    <w:basedOn w:val="Normal"/>
    <w:rsid w:val="001C13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character" w:styleId="Referencakomentara">
    <w:name w:val="annotation reference"/>
    <w:rsid w:val="001C13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C13E5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rsid w:val="001C13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C13E5"/>
    <w:rPr>
      <w:rFonts w:ascii="Calibri" w:eastAsia="Calibri" w:hAnsi="Calibri" w:cs="Times New Roman"/>
      <w:b/>
      <w:bCs/>
      <w:sz w:val="20"/>
      <w:szCs w:val="20"/>
    </w:rPr>
  </w:style>
  <w:style w:type="character" w:styleId="SlijeenaHiperveza">
    <w:name w:val="FollowedHyperlink"/>
    <w:uiPriority w:val="99"/>
    <w:unhideWhenUsed/>
    <w:rsid w:val="001C13E5"/>
    <w:rPr>
      <w:color w:val="954F72"/>
      <w:u w:val="single"/>
    </w:rPr>
  </w:style>
  <w:style w:type="character" w:styleId="Brojstranice">
    <w:name w:val="page number"/>
    <w:basedOn w:val="Zadanifontodlomka"/>
    <w:rsid w:val="00786DCB"/>
  </w:style>
  <w:style w:type="character" w:customStyle="1" w:styleId="Heading1Char">
    <w:name w:val="Heading 1 Char"/>
    <w:basedOn w:val="Zadanifontodlomka"/>
    <w:rsid w:val="00F7224D"/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character" w:customStyle="1" w:styleId="Heading2Char">
    <w:name w:val="Heading 2 Char"/>
    <w:basedOn w:val="Zadanifontodlomka"/>
    <w:rsid w:val="00F7224D"/>
    <w:rPr>
      <w:rFonts w:ascii="Cambria" w:eastAsia="Times New Roman" w:hAnsi="Cambria" w:cs="Times New Roman"/>
      <w:smallCaps/>
      <w:sz w:val="28"/>
      <w:szCs w:val="28"/>
      <w:lang w:eastAsia="hr-HR"/>
    </w:rPr>
  </w:style>
  <w:style w:type="character" w:customStyle="1" w:styleId="Heading3Char">
    <w:name w:val="Heading 3 Char"/>
    <w:basedOn w:val="Zadanifontodlomka"/>
    <w:rsid w:val="00F7224D"/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character" w:customStyle="1" w:styleId="Heading4Char">
    <w:name w:val="Heading 4 Char"/>
    <w:basedOn w:val="Zadanifontodlomka"/>
    <w:rsid w:val="00F7224D"/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character" w:customStyle="1" w:styleId="Heading5Char">
    <w:name w:val="Heading 5 Char"/>
    <w:basedOn w:val="Zadanifontodlomka"/>
    <w:rsid w:val="00F7224D"/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character" w:customStyle="1" w:styleId="Heading6Char">
    <w:name w:val="Heading 6 Char"/>
    <w:basedOn w:val="Zadanifontodlomka"/>
    <w:rsid w:val="00F7224D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eastAsia="hr-HR"/>
    </w:rPr>
  </w:style>
  <w:style w:type="character" w:customStyle="1" w:styleId="Heading7Char">
    <w:name w:val="Heading 7 Char"/>
    <w:basedOn w:val="Zadanifontodlomka"/>
    <w:rsid w:val="00F7224D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character" w:customStyle="1" w:styleId="Heading8Char">
    <w:name w:val="Heading 8 Char"/>
    <w:basedOn w:val="Zadanifontodlomka"/>
    <w:rsid w:val="00F7224D"/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character" w:customStyle="1" w:styleId="Heading9Char">
    <w:name w:val="Heading 9 Char"/>
    <w:basedOn w:val="Zadanifontodlomka"/>
    <w:rsid w:val="00F7224D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customStyle="1" w:styleId="HeaderChar">
    <w:name w:val="Header Char"/>
    <w:basedOn w:val="Zadanifontodlomka"/>
    <w:rsid w:val="00F7224D"/>
  </w:style>
  <w:style w:type="character" w:customStyle="1" w:styleId="FooterChar">
    <w:name w:val="Footer Char"/>
    <w:basedOn w:val="Zadanifontodlomka"/>
    <w:uiPriority w:val="99"/>
    <w:rsid w:val="00F7224D"/>
  </w:style>
  <w:style w:type="character" w:customStyle="1" w:styleId="BodyTextChar">
    <w:name w:val="Body Text Char"/>
    <w:basedOn w:val="Zadanifontodlomka"/>
    <w:rsid w:val="00F722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basedOn w:val="Zadanifontodlomka"/>
    <w:rsid w:val="00F7224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tleChar">
    <w:name w:val="Title Char"/>
    <w:basedOn w:val="Zadanifontodlomka"/>
    <w:rsid w:val="00F7224D"/>
    <w:rPr>
      <w:rFonts w:ascii="Cambria" w:eastAsia="Times New Roman" w:hAnsi="Cambria" w:cs="Times New Roman"/>
      <w:smallCaps/>
      <w:sz w:val="52"/>
      <w:szCs w:val="52"/>
      <w:lang w:eastAsia="hr-HR"/>
    </w:rPr>
  </w:style>
  <w:style w:type="character" w:customStyle="1" w:styleId="SubtitleChar">
    <w:name w:val="Subtitle Char"/>
    <w:basedOn w:val="Zadanifontodlomka"/>
    <w:rsid w:val="00F7224D"/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customStyle="1" w:styleId="NoSpacingChar">
    <w:name w:val="No Spacing Char"/>
    <w:rsid w:val="00F7224D"/>
    <w:rPr>
      <w:rFonts w:ascii="Cambria" w:eastAsia="Times New Roman" w:hAnsi="Cambria" w:cs="Times New Roman"/>
      <w:lang w:eastAsia="hr-HR"/>
    </w:rPr>
  </w:style>
  <w:style w:type="character" w:customStyle="1" w:styleId="QuoteChar">
    <w:name w:val="Quote Char"/>
    <w:basedOn w:val="Zadanifontodlomka"/>
    <w:rsid w:val="00F7224D"/>
    <w:rPr>
      <w:rFonts w:ascii="Cambria" w:eastAsia="Times New Roman" w:hAnsi="Cambria" w:cs="Times New Roman"/>
      <w:i/>
      <w:iCs/>
      <w:lang w:eastAsia="hr-HR"/>
    </w:rPr>
  </w:style>
  <w:style w:type="character" w:customStyle="1" w:styleId="IntenseQuoteChar">
    <w:name w:val="Intense Quote Char"/>
    <w:basedOn w:val="Zadanifontodlomka"/>
    <w:rsid w:val="00F7224D"/>
    <w:rPr>
      <w:rFonts w:ascii="Cambria" w:eastAsia="Times New Roman" w:hAnsi="Cambria" w:cs="Times New Roman"/>
      <w:i/>
      <w:iCs/>
      <w:lang w:eastAsia="hr-HR"/>
    </w:rPr>
  </w:style>
  <w:style w:type="character" w:customStyle="1" w:styleId="CommentTextChar">
    <w:name w:val="Comment Text Char"/>
    <w:basedOn w:val="Zadanifontodlomka"/>
    <w:rsid w:val="00F7224D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F722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4">
    <w:name w:val="xl64"/>
    <w:basedOn w:val="Normal"/>
    <w:rsid w:val="00F7224D"/>
    <w:pPr>
      <w:pBdr>
        <w:top w:val="single" w:sz="4" w:space="0" w:color="548235"/>
        <w:left w:val="single" w:sz="4" w:space="0" w:color="548235"/>
        <w:bottom w:val="single" w:sz="4" w:space="0" w:color="548235"/>
        <w:right w:val="single" w:sz="4" w:space="0" w:color="548235"/>
      </w:pBdr>
      <w:shd w:val="clear" w:color="auto" w:fill="EBE6F2"/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F7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03C0-7C8F-48EF-B5CA-1280703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Grbić</dc:creator>
  <cp:keywords/>
  <dc:description/>
  <cp:lastModifiedBy>Ana Mikuš</cp:lastModifiedBy>
  <cp:revision>5</cp:revision>
  <cp:lastPrinted>2017-01-30T16:46:00Z</cp:lastPrinted>
  <dcterms:created xsi:type="dcterms:W3CDTF">2017-02-06T12:25:00Z</dcterms:created>
  <dcterms:modified xsi:type="dcterms:W3CDTF">2017-02-08T10:54:00Z</dcterms:modified>
</cp:coreProperties>
</file>