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078F7">
      <w:pPr>
        <w:jc w:val="center"/>
      </w:pPr>
      <w:bookmarkStart w:id="46" w:name="_GoBack"/>
      <w:bookmarkEnd w:id="46"/>
      <w:r>
        <w:drawing>
          <wp:inline distT="0" distB="0" distL="0" distR="0">
            <wp:extent cx="1831340"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31825" cy="720000"/>
                    </a:xfrm>
                    <a:prstGeom prst="rect">
                      <a:avLst/>
                    </a:prstGeom>
                    <a:noFill/>
                    <a:ln>
                      <a:noFill/>
                    </a:ln>
                  </pic:spPr>
                </pic:pic>
              </a:graphicData>
            </a:graphic>
          </wp:inline>
        </w:drawing>
      </w:r>
    </w:p>
    <w:p w14:paraId="5F4D5739"/>
    <w:p w14:paraId="35180817"/>
    <w:p w14:paraId="75FB20C9"/>
    <w:p w14:paraId="3E25B555"/>
    <w:p w14:paraId="47AA5086"/>
    <w:p w14:paraId="6BE00BEE"/>
    <w:p w14:paraId="0D368ED8"/>
    <w:p w14:paraId="01129ECF"/>
    <w:p w14:paraId="4263105D"/>
    <w:p w14:paraId="6D779D38"/>
    <w:p w14:paraId="20D7660E"/>
    <w:p w14:paraId="0272F28B"/>
    <w:p w14:paraId="0ECF6E9A">
      <w:pPr>
        <w:pStyle w:val="35"/>
        <w:rPr>
          <w:color w:val="4472C4" w:themeColor="accent1"/>
          <w:sz w:val="56"/>
          <w:szCs w:val="56"/>
          <w14:textFill>
            <w14:solidFill>
              <w14:schemeClr w14:val="accent1"/>
            </w14:solidFill>
          </w14:textFill>
        </w:rPr>
      </w:pPr>
      <w:bookmarkStart w:id="0" w:name="_Hlk183701762"/>
      <w:bookmarkStart w:id="1" w:name="_Hlk516071430"/>
      <w:r>
        <w:rPr>
          <w:color w:val="4472C4" w:themeColor="accent1"/>
          <w:sz w:val="56"/>
          <w:szCs w:val="56"/>
          <w14:textFill>
            <w14:solidFill>
              <w14:schemeClr w14:val="accent1"/>
            </w14:solidFill>
          </w14:textFill>
        </w:rPr>
        <w:t>Program rada i razvoja za 2025. godinu</w:t>
      </w:r>
      <w:bookmarkEnd w:id="0"/>
    </w:p>
    <w:bookmarkEnd w:id="1"/>
    <w:p w14:paraId="46D2D4F3"/>
    <w:p w14:paraId="2140584E"/>
    <w:p w14:paraId="3C885CA3"/>
    <w:p w14:paraId="5656AAD0"/>
    <w:p w14:paraId="55E3BFFC"/>
    <w:p w14:paraId="1D48F8E5"/>
    <w:p w14:paraId="13813493"/>
    <w:p w14:paraId="5ECA9489"/>
    <w:p w14:paraId="5721539F"/>
    <w:p w14:paraId="3491E204"/>
    <w:p w14:paraId="5B987277"/>
    <w:p w14:paraId="1039A755">
      <w:pPr>
        <w:jc w:val="center"/>
        <w:rPr>
          <w:color w:val="4472C4" w:themeColor="accent1"/>
          <w14:textFill>
            <w14:solidFill>
              <w14:schemeClr w14:val="accent1"/>
            </w14:solidFill>
          </w14:textFill>
        </w:rPr>
        <w:sectPr>
          <w:footerReference r:id="rId5" w:type="even"/>
          <w:pgSz w:w="11906" w:h="16838"/>
          <w:pgMar w:top="1474" w:right="1531" w:bottom="1474" w:left="1531" w:header="709" w:footer="709" w:gutter="0"/>
          <w:cols w:space="708" w:num="1"/>
          <w:titlePg/>
          <w:docGrid w:linePitch="360" w:charSpace="0"/>
        </w:sectPr>
      </w:pPr>
      <w:r>
        <w:rPr>
          <w:color w:val="4472C4" w:themeColor="accent1"/>
          <w14:textFill>
            <w14:solidFill>
              <w14:schemeClr w14:val="accent1"/>
            </w14:solidFill>
          </w14:textFill>
        </w:rPr>
        <w:t>Zagreb, 2024.</w:t>
      </w:r>
    </w:p>
    <w:p w14:paraId="12F35BF8"/>
    <w:p w14:paraId="51BA20F2"/>
    <w:p w14:paraId="20143201">
      <w:pPr>
        <w:pStyle w:val="36"/>
        <w:rPr>
          <w:rFonts w:asciiTheme="minorHAnsi" w:hAnsiTheme="minorHAnsi" w:eastAsiaTheme="minorEastAsia" w:cstheme="minorBidi"/>
          <w:sz w:val="22"/>
        </w:rPr>
      </w:pPr>
      <w:r>
        <w:fldChar w:fldCharType="begin"/>
      </w:r>
      <w:r>
        <w:instrText xml:space="preserve"> TOC \o "1-3" \h \z \u </w:instrText>
      </w:r>
      <w:r>
        <w:fldChar w:fldCharType="separate"/>
      </w:r>
      <w:r>
        <w:fldChar w:fldCharType="begin"/>
      </w:r>
      <w:r>
        <w:instrText xml:space="preserve"> HYPERLINK \l "_Toc184821159" </w:instrText>
      </w:r>
      <w:r>
        <w:fldChar w:fldCharType="separate"/>
      </w:r>
      <w:r>
        <w:rPr>
          <w:rStyle w:val="28"/>
        </w:rPr>
        <w:t>1. Uvod</w:t>
      </w:r>
      <w:r>
        <w:tab/>
      </w:r>
      <w:r>
        <w:fldChar w:fldCharType="begin"/>
      </w:r>
      <w:r>
        <w:instrText xml:space="preserve"> PAGEREF _Toc184821159 \h </w:instrText>
      </w:r>
      <w:r>
        <w:fldChar w:fldCharType="separate"/>
      </w:r>
      <w:r>
        <w:t>1</w:t>
      </w:r>
      <w:r>
        <w:fldChar w:fldCharType="end"/>
      </w:r>
      <w:r>
        <w:fldChar w:fldCharType="end"/>
      </w:r>
    </w:p>
    <w:p w14:paraId="41CF1021">
      <w:pPr>
        <w:pStyle w:val="36"/>
        <w:rPr>
          <w:rFonts w:asciiTheme="minorHAnsi" w:hAnsiTheme="minorHAnsi" w:eastAsiaTheme="minorEastAsia" w:cstheme="minorBidi"/>
          <w:sz w:val="22"/>
        </w:rPr>
      </w:pPr>
      <w:r>
        <w:fldChar w:fldCharType="begin"/>
      </w:r>
      <w:r>
        <w:instrText xml:space="preserve"> HYPERLINK \l "_Toc184821160" </w:instrText>
      </w:r>
      <w:r>
        <w:fldChar w:fldCharType="separate"/>
      </w:r>
      <w:r>
        <w:rPr>
          <w:rStyle w:val="28"/>
        </w:rPr>
        <w:t>2. Služba za epidemiologiju</w:t>
      </w:r>
      <w:r>
        <w:tab/>
      </w:r>
      <w:r>
        <w:fldChar w:fldCharType="begin"/>
      </w:r>
      <w:r>
        <w:instrText xml:space="preserve"> PAGEREF _Toc184821160 \h </w:instrText>
      </w:r>
      <w:r>
        <w:fldChar w:fldCharType="separate"/>
      </w:r>
      <w:r>
        <w:t>2</w:t>
      </w:r>
      <w:r>
        <w:fldChar w:fldCharType="end"/>
      </w:r>
      <w:r>
        <w:fldChar w:fldCharType="end"/>
      </w:r>
    </w:p>
    <w:p w14:paraId="3FAA8B91">
      <w:pPr>
        <w:pStyle w:val="36"/>
        <w:rPr>
          <w:rFonts w:asciiTheme="minorHAnsi" w:hAnsiTheme="minorHAnsi" w:eastAsiaTheme="minorEastAsia" w:cstheme="minorBidi"/>
          <w:sz w:val="22"/>
        </w:rPr>
      </w:pPr>
      <w:r>
        <w:fldChar w:fldCharType="begin"/>
      </w:r>
      <w:r>
        <w:instrText xml:space="preserve"> HYPERLINK \l "_Toc184821161" </w:instrText>
      </w:r>
      <w:r>
        <w:fldChar w:fldCharType="separate"/>
      </w:r>
      <w:r>
        <w:rPr>
          <w:rStyle w:val="28"/>
        </w:rPr>
        <w:t>3. Služba za kliničku mikrobiologiju</w:t>
      </w:r>
      <w:r>
        <w:tab/>
      </w:r>
      <w:r>
        <w:fldChar w:fldCharType="begin"/>
      </w:r>
      <w:r>
        <w:instrText xml:space="preserve"> PAGEREF _Toc184821161 \h </w:instrText>
      </w:r>
      <w:r>
        <w:fldChar w:fldCharType="separate"/>
      </w:r>
      <w:r>
        <w:t>9</w:t>
      </w:r>
      <w:r>
        <w:fldChar w:fldCharType="end"/>
      </w:r>
      <w:r>
        <w:fldChar w:fldCharType="end"/>
      </w:r>
    </w:p>
    <w:p w14:paraId="0CB921C1">
      <w:pPr>
        <w:pStyle w:val="36"/>
        <w:rPr>
          <w:rFonts w:asciiTheme="minorHAnsi" w:hAnsiTheme="minorHAnsi" w:eastAsiaTheme="minorEastAsia" w:cstheme="minorBidi"/>
          <w:sz w:val="22"/>
        </w:rPr>
      </w:pPr>
      <w:r>
        <w:fldChar w:fldCharType="begin"/>
      </w:r>
      <w:r>
        <w:instrText xml:space="preserve"> HYPERLINK \l "_Toc184821162" </w:instrText>
      </w:r>
      <w:r>
        <w:fldChar w:fldCharType="separate"/>
      </w:r>
      <w:r>
        <w:rPr>
          <w:rStyle w:val="28"/>
        </w:rPr>
        <w:t>4. Služba za zdravstvenu ekologiju</w:t>
      </w:r>
      <w:r>
        <w:tab/>
      </w:r>
      <w:r>
        <w:fldChar w:fldCharType="begin"/>
      </w:r>
      <w:r>
        <w:instrText xml:space="preserve"> PAGEREF _Toc184821162 \h </w:instrText>
      </w:r>
      <w:r>
        <w:fldChar w:fldCharType="separate"/>
      </w:r>
      <w:r>
        <w:t>13</w:t>
      </w:r>
      <w:r>
        <w:fldChar w:fldCharType="end"/>
      </w:r>
      <w:r>
        <w:fldChar w:fldCharType="end"/>
      </w:r>
    </w:p>
    <w:p w14:paraId="3550A80E">
      <w:pPr>
        <w:pStyle w:val="36"/>
        <w:rPr>
          <w:rFonts w:asciiTheme="minorHAnsi" w:hAnsiTheme="minorHAnsi" w:eastAsiaTheme="minorEastAsia" w:cstheme="minorBidi"/>
          <w:sz w:val="22"/>
        </w:rPr>
      </w:pPr>
      <w:r>
        <w:fldChar w:fldCharType="begin"/>
      </w:r>
      <w:r>
        <w:instrText xml:space="preserve"> HYPERLINK \l "_Toc184821163" </w:instrText>
      </w:r>
      <w:r>
        <w:fldChar w:fldCharType="separate"/>
      </w:r>
      <w:r>
        <w:rPr>
          <w:rStyle w:val="28"/>
        </w:rPr>
        <w:t>5. Služba za javno zdravstvo</w:t>
      </w:r>
      <w:r>
        <w:tab/>
      </w:r>
      <w:r>
        <w:fldChar w:fldCharType="begin"/>
      </w:r>
      <w:r>
        <w:instrText xml:space="preserve"> PAGEREF _Toc184821163 \h </w:instrText>
      </w:r>
      <w:r>
        <w:fldChar w:fldCharType="separate"/>
      </w:r>
      <w:r>
        <w:t>43</w:t>
      </w:r>
      <w:r>
        <w:fldChar w:fldCharType="end"/>
      </w:r>
      <w:r>
        <w:fldChar w:fldCharType="end"/>
      </w:r>
    </w:p>
    <w:p w14:paraId="724BEABD">
      <w:pPr>
        <w:pStyle w:val="36"/>
        <w:rPr>
          <w:rFonts w:asciiTheme="minorHAnsi" w:hAnsiTheme="minorHAnsi" w:eastAsiaTheme="minorEastAsia" w:cstheme="minorBidi"/>
          <w:sz w:val="22"/>
        </w:rPr>
      </w:pPr>
      <w:r>
        <w:fldChar w:fldCharType="begin"/>
      </w:r>
      <w:r>
        <w:instrText xml:space="preserve"> HYPERLINK \l "_Toc184821164" </w:instrText>
      </w:r>
      <w:r>
        <w:fldChar w:fldCharType="separate"/>
      </w:r>
      <w:r>
        <w:rPr>
          <w:rStyle w:val="28"/>
        </w:rPr>
        <w:t>6. Služba za javnozdravstvenu gerontologiju</w:t>
      </w:r>
      <w:r>
        <w:tab/>
      </w:r>
      <w:r>
        <w:fldChar w:fldCharType="begin"/>
      </w:r>
      <w:r>
        <w:instrText xml:space="preserve"> PAGEREF _Toc184821164 \h </w:instrText>
      </w:r>
      <w:r>
        <w:fldChar w:fldCharType="separate"/>
      </w:r>
      <w:r>
        <w:t>49</w:t>
      </w:r>
      <w:r>
        <w:fldChar w:fldCharType="end"/>
      </w:r>
      <w:r>
        <w:fldChar w:fldCharType="end"/>
      </w:r>
    </w:p>
    <w:p w14:paraId="657943B4">
      <w:pPr>
        <w:pStyle w:val="36"/>
        <w:rPr>
          <w:rFonts w:asciiTheme="minorHAnsi" w:hAnsiTheme="minorHAnsi" w:eastAsiaTheme="minorEastAsia" w:cstheme="minorBidi"/>
          <w:sz w:val="22"/>
        </w:rPr>
      </w:pPr>
      <w:r>
        <w:fldChar w:fldCharType="begin"/>
      </w:r>
      <w:r>
        <w:instrText xml:space="preserve"> HYPERLINK \l "_Toc184821165" </w:instrText>
      </w:r>
      <w:r>
        <w:fldChar w:fldCharType="separate"/>
      </w:r>
      <w:r>
        <w:rPr>
          <w:rStyle w:val="28"/>
        </w:rPr>
        <w:t>7. Služba za školsku i adolescentnu medicinu</w:t>
      </w:r>
      <w:r>
        <w:tab/>
      </w:r>
      <w:r>
        <w:fldChar w:fldCharType="begin"/>
      </w:r>
      <w:r>
        <w:instrText xml:space="preserve"> PAGEREF _Toc184821165 \h </w:instrText>
      </w:r>
      <w:r>
        <w:fldChar w:fldCharType="separate"/>
      </w:r>
      <w:r>
        <w:t>55</w:t>
      </w:r>
      <w:r>
        <w:fldChar w:fldCharType="end"/>
      </w:r>
      <w:r>
        <w:fldChar w:fldCharType="end"/>
      </w:r>
    </w:p>
    <w:p w14:paraId="782731B8">
      <w:pPr>
        <w:pStyle w:val="36"/>
        <w:rPr>
          <w:rFonts w:asciiTheme="minorHAnsi" w:hAnsiTheme="minorHAnsi" w:eastAsiaTheme="minorEastAsia" w:cstheme="minorBidi"/>
          <w:sz w:val="22"/>
        </w:rPr>
      </w:pPr>
      <w:r>
        <w:fldChar w:fldCharType="begin"/>
      </w:r>
      <w:r>
        <w:instrText xml:space="preserve"> HYPERLINK \l "_Toc184821166" </w:instrText>
      </w:r>
      <w:r>
        <w:fldChar w:fldCharType="separate"/>
      </w:r>
      <w:r>
        <w:rPr>
          <w:rStyle w:val="28"/>
        </w:rPr>
        <w:t>8. Služba za mentalno zdravlje i prevenciju ovisnosti</w:t>
      </w:r>
      <w:r>
        <w:tab/>
      </w:r>
      <w:r>
        <w:fldChar w:fldCharType="begin"/>
      </w:r>
      <w:r>
        <w:instrText xml:space="preserve"> PAGEREF _Toc184821166 \h </w:instrText>
      </w:r>
      <w:r>
        <w:fldChar w:fldCharType="separate"/>
      </w:r>
      <w:r>
        <w:t>64</w:t>
      </w:r>
      <w:r>
        <w:fldChar w:fldCharType="end"/>
      </w:r>
      <w:r>
        <w:fldChar w:fldCharType="end"/>
      </w:r>
    </w:p>
    <w:p w14:paraId="12AB5E2D">
      <w:pPr>
        <w:pStyle w:val="36"/>
        <w:rPr>
          <w:rFonts w:asciiTheme="minorHAnsi" w:hAnsiTheme="minorHAnsi" w:eastAsiaTheme="minorEastAsia" w:cstheme="minorBidi"/>
          <w:sz w:val="22"/>
        </w:rPr>
      </w:pPr>
      <w:r>
        <w:fldChar w:fldCharType="begin"/>
      </w:r>
      <w:r>
        <w:instrText xml:space="preserve"> HYPERLINK \l "_Toc184821167" </w:instrText>
      </w:r>
      <w:r>
        <w:fldChar w:fldCharType="separate"/>
      </w:r>
      <w:r>
        <w:rPr>
          <w:rStyle w:val="28"/>
        </w:rPr>
        <w:t>9. Služba za znanost i nastavu</w:t>
      </w:r>
      <w:r>
        <w:tab/>
      </w:r>
      <w:r>
        <w:fldChar w:fldCharType="begin"/>
      </w:r>
      <w:r>
        <w:instrText xml:space="preserve"> PAGEREF _Toc184821167 \h </w:instrText>
      </w:r>
      <w:r>
        <w:fldChar w:fldCharType="separate"/>
      </w:r>
      <w:r>
        <w:t>74</w:t>
      </w:r>
      <w:r>
        <w:fldChar w:fldCharType="end"/>
      </w:r>
      <w:r>
        <w:fldChar w:fldCharType="end"/>
      </w:r>
    </w:p>
    <w:p w14:paraId="5348A16A">
      <w:pPr>
        <w:pStyle w:val="36"/>
        <w:rPr>
          <w:rFonts w:asciiTheme="minorHAnsi" w:hAnsiTheme="minorHAnsi" w:eastAsiaTheme="minorEastAsia" w:cstheme="minorBidi"/>
          <w:sz w:val="22"/>
        </w:rPr>
      </w:pPr>
      <w:r>
        <w:fldChar w:fldCharType="begin"/>
      </w:r>
      <w:r>
        <w:instrText xml:space="preserve"> HYPERLINK \l "_Toc184821168" </w:instrText>
      </w:r>
      <w:r>
        <w:fldChar w:fldCharType="separate"/>
      </w:r>
      <w:r>
        <w:rPr>
          <w:rStyle w:val="28"/>
        </w:rPr>
        <w:t>10. Broj i struktura zaposlenika</w:t>
      </w:r>
      <w:r>
        <w:tab/>
      </w:r>
      <w:r>
        <w:fldChar w:fldCharType="begin"/>
      </w:r>
      <w:r>
        <w:instrText xml:space="preserve"> PAGEREF _Toc184821168 \h </w:instrText>
      </w:r>
      <w:r>
        <w:fldChar w:fldCharType="separate"/>
      </w:r>
      <w:r>
        <w:t>79</w:t>
      </w:r>
      <w:r>
        <w:fldChar w:fldCharType="end"/>
      </w:r>
      <w:r>
        <w:fldChar w:fldCharType="end"/>
      </w:r>
    </w:p>
    <w:p w14:paraId="24653AC6">
      <w:pPr>
        <w:pStyle w:val="36"/>
        <w:rPr>
          <w:rFonts w:asciiTheme="minorHAnsi" w:hAnsiTheme="minorHAnsi" w:eastAsiaTheme="minorEastAsia" w:cstheme="minorBidi"/>
          <w:sz w:val="22"/>
        </w:rPr>
      </w:pPr>
      <w:r>
        <w:fldChar w:fldCharType="begin"/>
      </w:r>
      <w:r>
        <w:instrText xml:space="preserve"> HYPERLINK \l "_Toc184821169" </w:instrText>
      </w:r>
      <w:r>
        <w:fldChar w:fldCharType="separate"/>
      </w:r>
      <w:r>
        <w:rPr>
          <w:rStyle w:val="28"/>
        </w:rPr>
        <w:t>11. Plan zapošljavanja</w:t>
      </w:r>
      <w:r>
        <w:tab/>
      </w:r>
      <w:r>
        <w:fldChar w:fldCharType="begin"/>
      </w:r>
      <w:r>
        <w:instrText xml:space="preserve"> PAGEREF _Toc184821169 \h </w:instrText>
      </w:r>
      <w:r>
        <w:fldChar w:fldCharType="separate"/>
      </w:r>
      <w:r>
        <w:t>82</w:t>
      </w:r>
      <w:r>
        <w:fldChar w:fldCharType="end"/>
      </w:r>
      <w:r>
        <w:fldChar w:fldCharType="end"/>
      </w:r>
    </w:p>
    <w:p w14:paraId="5A8C7A8C">
      <w:pPr>
        <w:pStyle w:val="36"/>
        <w:rPr>
          <w:rFonts w:asciiTheme="minorHAnsi" w:hAnsiTheme="minorHAnsi" w:eastAsiaTheme="minorEastAsia" w:cstheme="minorBidi"/>
          <w:sz w:val="22"/>
        </w:rPr>
      </w:pPr>
      <w:r>
        <w:fldChar w:fldCharType="begin"/>
      </w:r>
      <w:r>
        <w:instrText xml:space="preserve"> HYPERLINK \l "_Toc184821170" </w:instrText>
      </w:r>
      <w:r>
        <w:fldChar w:fldCharType="separate"/>
      </w:r>
      <w:r>
        <w:rPr>
          <w:rStyle w:val="28"/>
        </w:rPr>
        <w:t>12. Plan informatizacije i digitalizacije</w:t>
      </w:r>
      <w:r>
        <w:tab/>
      </w:r>
      <w:r>
        <w:fldChar w:fldCharType="begin"/>
      </w:r>
      <w:r>
        <w:instrText xml:space="preserve"> PAGEREF _Toc184821170 \h </w:instrText>
      </w:r>
      <w:r>
        <w:fldChar w:fldCharType="separate"/>
      </w:r>
      <w:r>
        <w:t>85</w:t>
      </w:r>
      <w:r>
        <w:fldChar w:fldCharType="end"/>
      </w:r>
      <w:r>
        <w:fldChar w:fldCharType="end"/>
      </w:r>
    </w:p>
    <w:p w14:paraId="622262C7">
      <w:pPr>
        <w:sectPr>
          <w:headerReference r:id="rId8" w:type="first"/>
          <w:headerReference r:id="rId6" w:type="default"/>
          <w:footerReference r:id="rId9" w:type="default"/>
          <w:headerReference r:id="rId7" w:type="even"/>
          <w:pgSz w:w="11906" w:h="16838"/>
          <w:pgMar w:top="1417" w:right="1417" w:bottom="1417" w:left="1417" w:header="708" w:footer="397" w:gutter="0"/>
          <w:pgNumType w:fmt="upperRoman" w:start="1"/>
          <w:cols w:space="708" w:num="1"/>
          <w:docGrid w:linePitch="360" w:charSpace="0"/>
        </w:sectPr>
      </w:pPr>
      <w:r>
        <w:fldChar w:fldCharType="end"/>
      </w:r>
    </w:p>
    <w:p w14:paraId="4D5A1C94"/>
    <w:p w14:paraId="150727C5">
      <w:pPr>
        <w:pStyle w:val="2"/>
      </w:pPr>
      <w:bookmarkStart w:id="2" w:name="_Toc184821159"/>
      <w:r>
        <w:t>1. Uvod</w:t>
      </w:r>
      <w:bookmarkEnd w:id="2"/>
    </w:p>
    <w:p w14:paraId="4E8D676A"/>
    <w:p w14:paraId="799C1316">
      <w:r>
        <w:t>Djelatnost Nastavnog zavoda za javno zdravstvo Dr. Andrija Štampar organizirana je radom osam stručnih službi koje brinu o provođenju mjera zdravstvene zaštite i pružanju zdravstvenih usluga na području očuvanja i unapređivanja zdravlja građana, kontroli i sprečavanju zaraznih i kroničnih nezaraznih bolesti, poticanju kvalitete i praćenju uvjeta životne i radne okoline, zdravstvenom prosvjećivanju i promicanju zdravlja te zdravstvenoj zaštiti osobito vulnerabilnih skupina stanovništva.</w:t>
      </w:r>
    </w:p>
    <w:p w14:paraId="73952062">
      <w:r>
        <w:t xml:space="preserve">U 2025. godini nastavit će se sve aktivnosti obvezne prema </w:t>
      </w:r>
      <w:r>
        <w:rPr>
          <w:i/>
          <w:iCs/>
        </w:rPr>
        <w:t>Planu i programu mjera zdravstvene zaštite</w:t>
      </w:r>
      <w:r>
        <w:t>, sklopljenim ugovorima, posebnim programima i projektima.</w:t>
      </w:r>
    </w:p>
    <w:p w14:paraId="4A09D6A6">
      <w:r>
        <w:t>S ciljem kontinuiranog rada na razvoju i unapređenju poslovnih procesa, nastavit će se analiza i optimizacija radnih procesa u stručnim službama Zavoda, a očekuje se i implementacija digitalizacije poslovnog procesa za evidenciju radnog vremena što će rezultirati ukidanjem papirnatih zahtjeva radnika za godišnje odmore i digitalno potpisivanje zahtjeva radnika.</w:t>
      </w:r>
    </w:p>
    <w:p w14:paraId="228F78CB">
      <w:pPr>
        <w:rPr>
          <w:spacing w:val="-2"/>
        </w:rPr>
      </w:pPr>
      <w:r>
        <w:rPr>
          <w:spacing w:val="-2"/>
        </w:rPr>
        <w:t>Planira se i nastavak proširenja uslužnih djelatnosti prema zahtjevima novih zakonskih odredbi, zahtjevima tržišta i ugovorenih suradnika, što će omogućiti davanje potpunije ocjene sukladnosti i smanjivanje potreba za uslužnim analizama u vanjskim laboratorijima.</w:t>
      </w:r>
    </w:p>
    <w:p w14:paraId="7519C90D">
      <w:r>
        <w:t>Planira se provesti predradnje, ishoditi potrebne certifikate i započeti obavljanje djelatnosti ispitivanja kvalitete lijekova.</w:t>
      </w:r>
    </w:p>
    <w:p w14:paraId="3F7FF872">
      <w:r>
        <w:t>U 2025. godini Zavod planira provedbu novih javnozdravstvenih programa za unapređenje zdravlja zajednice: „Zagreb – zdravi dom: program javnozdravstvene intervencije s doseljeničkom populacijom“, „Edukacija i osnaživanje zdravstvenih voditelja predškolskih ustanova s ciljem prevencije zaraznih bolesti“ te „Edukacija o racionalnoj upotrebi lijekova u domovima za starije osobe u Gradu Zagrebu“.</w:t>
      </w:r>
    </w:p>
    <w:p w14:paraId="21C525DA">
      <w:r>
        <w:br w:type="page"/>
      </w:r>
    </w:p>
    <w:p w14:paraId="09DA2623"/>
    <w:p w14:paraId="10F5CA3C">
      <w:pPr>
        <w:pStyle w:val="2"/>
      </w:pPr>
      <w:bookmarkStart w:id="3" w:name="_Toc473726687"/>
      <w:bookmarkStart w:id="4" w:name="_Toc184821160"/>
      <w:bookmarkStart w:id="5" w:name="_Toc84862479"/>
      <w:r>
        <w:t>2. Služba za epidemiologiju</w:t>
      </w:r>
      <w:bookmarkEnd w:id="3"/>
      <w:bookmarkEnd w:id="4"/>
      <w:bookmarkEnd w:id="5"/>
    </w:p>
    <w:p w14:paraId="405C1825"/>
    <w:p w14:paraId="54D3DF9E">
      <w:pPr>
        <w:pStyle w:val="147"/>
      </w:pPr>
      <w:r>
        <w:t>SAŽETAK DJELOKRUGA RADA</w:t>
      </w:r>
    </w:p>
    <w:p w14:paraId="3DB9340D">
      <w:r>
        <w:t>Služba za epidemiologiju kontinuirano provodi mjere higijensko-epidemiološke zaštite s epidemiološkom analizom stanja na području Grada Zagreba, po potrebi provodi protuepidemijske mjere te nadzire provođenje obveznih imunizacija. Temeljem planova cjepitelja izrađuje godišnji plan potrebe cjepiva za Grad Zagreb i obavlja raspodjelu obveznih cjepiva ordinacijama na primarnoj razini zdravstvene zaštite na području Grada Zagreba. Služba sudjeluje u izradi i provedbi pojedinih programa zdravstvene zaštite u izvanrednim prilikama te planiranju, predlaganju i provođenju mjera za sprečavanje, rano otkrivanje i suzbijanje kroničnih masovnih bolesti. Provodi obrazovanje osoba koje rade u proizvodnji i distribuciji hrane te implementaciju, reviziju i monitoring HACCP sustava. Izrađuje Program i provedbeni plan preventivne i obvezne preventivne dezinfekcije, dezinsekcije i deratizacije za područje Grada Zagreba, nadzire provedbu mjera dezinfekcije, dezinsekcije i deratizacije za potrebe grada Zagreba, istražuje i prati vektore bolesti te provodi preventivne i protuepidemijske postupke dezinfekcije, dezinsekcije i deratizacije. Provodi znanstveno-istraživačku djelatnost iz područja epidemiologije i srodnih, odnosno suradnih znanosti te druge poslove iz zdravstvene djelatnosti, sukladno Zakonu o zdravstvenoj zaštiti i odobrenjima Ministarstva zdravstva.</w:t>
      </w:r>
    </w:p>
    <w:p w14:paraId="34AA2393"/>
    <w:p w14:paraId="3DFB5A8F">
      <w:pPr>
        <w:pStyle w:val="147"/>
      </w:pPr>
      <w:r>
        <w:t>PROGRAM RADA</w:t>
      </w:r>
    </w:p>
    <w:p w14:paraId="6ECDFCDC">
      <w:r>
        <w:t>Služba u okviru svojih mogućnosti, odnosno raspoloživim sredstvima prema financijskom planu, svojim programom higijensko-epidemiološke zaštite osigurava zadovoljavajuću epidemiološku situaciju na području Grada Zagreba.</w:t>
      </w:r>
    </w:p>
    <w:p w14:paraId="6F6A66C0">
      <w:r>
        <w:rPr>
          <w:b/>
        </w:rPr>
        <w:t>Program prevencije i suzbijanja zaraznih bolesti</w:t>
      </w:r>
      <w:r>
        <w:t xml:space="preserve"> provodi se sljedećim aktivnostima: kontinuirano praćenje zaraznih bolesti i epidemiološka analiza morbiditeta od infektivnih bolesti za područje grada Zagreba; provođenje epidemioloških obrada i nadzora nad oboljelima, kontaktima te provođenje općih i protuepidemijskih mjera zdravstvene zaštite, provođenje specijalističkih obveznih zdravstvenih (sanitarnih) pregleda osoba koje su zakonski obveznici, planiranje i nadzor nad provedbom obveznih imunizacija na području grada Zagreba, distribucija cjepiva ordinacijama na primarnoj razini zdravstvene zaštite na području Grada Zagreba, provođenje neobaveznih imunizacija za putnike u međunarodnom prometu, cijepljenje visokorizičnih pacijenata, provođenje antirabične zaštite za Grad Zagreb.</w:t>
      </w:r>
    </w:p>
    <w:p w14:paraId="5FF4C411">
      <w:pPr>
        <w:rPr>
          <w:i/>
        </w:rPr>
      </w:pPr>
      <w:r>
        <w:rPr>
          <w:i/>
        </w:rPr>
        <w:t>Planirani prihodi po izvorima:</w:t>
      </w:r>
    </w:p>
    <w:p w14:paraId="4C12A4CE">
      <w:pPr>
        <w:numPr>
          <w:ilvl w:val="0"/>
          <w:numId w:val="2"/>
        </w:numPr>
      </w:pPr>
      <w:r>
        <w:t>HZZO – Ugovor o provođenju djelatnosti higijensko epidemiološke zaštite</w:t>
      </w:r>
    </w:p>
    <w:p w14:paraId="02494A82">
      <w:pPr>
        <w:numPr>
          <w:ilvl w:val="0"/>
          <w:numId w:val="2"/>
        </w:numPr>
      </w:pPr>
      <w:r>
        <w:t>Usluge na tržištu.</w:t>
      </w:r>
    </w:p>
    <w:p w14:paraId="1474E41B">
      <w:pPr>
        <w:rPr>
          <w:b/>
        </w:rPr>
      </w:pPr>
      <w:r>
        <w:rPr>
          <w:b/>
        </w:rPr>
        <w:t>Uzimanje uzoraka za mikrobiološke pretrage</w:t>
      </w:r>
    </w:p>
    <w:p w14:paraId="635F9588">
      <w:r>
        <w:t xml:space="preserve">S ciljem utvrđivanja uzročnika infektivnih bolesti, ali i dijagnostike drugih bolesti, u higijensko-epidemiološkim odjelima prikupljaju se uzorci za mikrobiološku dijagnostiku. </w:t>
      </w:r>
    </w:p>
    <w:p w14:paraId="64F8654F">
      <w:pPr>
        <w:rPr>
          <w:i/>
        </w:rPr>
      </w:pPr>
      <w:r>
        <w:rPr>
          <w:i/>
        </w:rPr>
        <w:t>Planirani prihodi po izvorima:</w:t>
      </w:r>
    </w:p>
    <w:p w14:paraId="28537EE9">
      <w:pPr>
        <w:ind w:left="709"/>
      </w:pPr>
      <w:r>
        <w:t>Usluge na tržištu.</w:t>
      </w:r>
    </w:p>
    <w:p w14:paraId="26388A1C">
      <w:r>
        <w:rPr>
          <w:b/>
        </w:rPr>
        <w:t xml:space="preserve">Prevencija kroničnih nezaraznih bolesti </w:t>
      </w:r>
      <w:r>
        <w:t>provodi se sljedećim aktivnostima: epidemiološko praćenje i analiza morbiditeta i mortaliteta za odabrane prioritete iz područja kroničnih nezaraznih bolesti; organizacija, koordinacija, provođenje, kontrola kvalitete provođenja i evaluacija Nacionalnog programa ranog otkrivanja raka dojke za grad Zagreb; organizacija, koordinacija, provođenje, kontrola kvalitete provođenja i evaluacija Nacionalnog programa ranog otkrivanja raka debelog crijeva za grad Zagreb; organizacija i provođenje testiranja na okultno krvarenje u stolici; sudjelovanje u radu Povjerenstva za provedbu ranog otkrivanja raka dojke i raka debelog crijeva Ministarstva zdravstva; provođenje preventivne dijagnostičke mamografije kao ugovorna mamografska jedinica; provođenje Programa preventivne mobilne mamografije</w:t>
      </w:r>
    </w:p>
    <w:p w14:paraId="6217295D">
      <w:pPr>
        <w:rPr>
          <w:i/>
        </w:rPr>
      </w:pPr>
      <w:r>
        <w:rPr>
          <w:i/>
        </w:rPr>
        <w:t>Planirani prihodi po izvorima:</w:t>
      </w:r>
    </w:p>
    <w:p w14:paraId="2D9AC2C8">
      <w:pPr>
        <w:numPr>
          <w:ilvl w:val="0"/>
          <w:numId w:val="3"/>
        </w:numPr>
      </w:pPr>
      <w:r>
        <w:t>HZZO – Ugovor o provođenju dijagnostičke mamografije Nacionalnog programa prevencije raka dojke</w:t>
      </w:r>
    </w:p>
    <w:p w14:paraId="252F3F03">
      <w:pPr>
        <w:numPr>
          <w:ilvl w:val="0"/>
          <w:numId w:val="3"/>
        </w:numPr>
      </w:pPr>
      <w:r>
        <w:t>Grad Zagreb, Gradski ured za socijalnu zaštitu, zdravstvo, branitelje i osobe s invaliditetom – Ugovor o provedbi programa Preventivne mobilne mamografije u Zagrebu</w:t>
      </w:r>
    </w:p>
    <w:p w14:paraId="20910D17">
      <w:pPr>
        <w:numPr>
          <w:ilvl w:val="0"/>
          <w:numId w:val="3"/>
        </w:numPr>
      </w:pPr>
      <w:r>
        <w:t>Usluge mamografije na tržištu.</w:t>
      </w:r>
    </w:p>
    <w:p w14:paraId="77AFEB44">
      <w:r>
        <w:rPr>
          <w:b/>
        </w:rPr>
        <w:t>Proučavanje, praćenje i suzbijanje vektora zaraznih bolesti</w:t>
      </w:r>
      <w:r>
        <w:t xml:space="preserve"> provodi se sljedećim aktivnostima: izrada Programa mjera i Provedbenog plana preventivne i obvezne preventivne dezinfekcije, dezinsekcije i deratizacije za područje grada Zagreba te provođenje stručnog nadzora nad provedbom istog Programa mjera i Provedbenog plana; provođenje programa Istraživanja i praćenja invazivnih vrsta komaraca na području grada Zagreba; poslovi dezinfekcije, dezinsekcije i deratizacije na komercijalnom tržištu.</w:t>
      </w:r>
    </w:p>
    <w:p w14:paraId="32E18D95">
      <w:pPr>
        <w:rPr>
          <w:i/>
        </w:rPr>
      </w:pPr>
      <w:r>
        <w:rPr>
          <w:i/>
        </w:rPr>
        <w:t>Planirani prihodi po izvorima:</w:t>
      </w:r>
    </w:p>
    <w:p w14:paraId="12016CF7">
      <w:pPr>
        <w:numPr>
          <w:ilvl w:val="0"/>
          <w:numId w:val="4"/>
        </w:numPr>
      </w:pPr>
      <w:r>
        <w:t>Grad Zagreb – Ugovori o provedbi stručnog nadzora</w:t>
      </w:r>
    </w:p>
    <w:p w14:paraId="5BBDFF6B">
      <w:pPr>
        <w:numPr>
          <w:ilvl w:val="0"/>
          <w:numId w:val="4"/>
        </w:numPr>
      </w:pPr>
      <w:r>
        <w:t>Grad Zagreb – Istraživanje i praćenje invazivnih vrsta komaraca (vektora bolesti)</w:t>
      </w:r>
    </w:p>
    <w:p w14:paraId="22FC94D9">
      <w:pPr>
        <w:numPr>
          <w:ilvl w:val="0"/>
          <w:numId w:val="4"/>
        </w:numPr>
      </w:pPr>
      <w:r>
        <w:t>Usluge DDD-a na tržištu.</w:t>
      </w:r>
    </w:p>
    <w:p w14:paraId="4EE70EAA">
      <w:r>
        <w:rPr>
          <w:b/>
          <w:bCs/>
        </w:rPr>
        <w:t>Provođenje programa stjecanja potrebnog znanja o zdravstvenoj ispravnosti hrane</w:t>
      </w:r>
      <w:r>
        <w:t xml:space="preserve"> provodi se sljedećim aktivnostima: organizacija i provođenje tečajeva sukladno važećim propisima; organizacija i održavanje usmenih ispita pred ispitnom komisijom.</w:t>
      </w:r>
    </w:p>
    <w:p w14:paraId="112A74B0">
      <w:pPr>
        <w:rPr>
          <w:i/>
        </w:rPr>
      </w:pPr>
      <w:bookmarkStart w:id="6" w:name="_Hlk25664934"/>
      <w:r>
        <w:rPr>
          <w:i/>
        </w:rPr>
        <w:t>Planirani prihodi po izvorima:</w:t>
      </w:r>
    </w:p>
    <w:p w14:paraId="24CB511E">
      <w:r>
        <w:t>Usluge na tržištu.</w:t>
      </w:r>
    </w:p>
    <w:bookmarkEnd w:id="6"/>
    <w:p w14:paraId="26F3A2D3">
      <w:r>
        <w:rPr>
          <w:b/>
          <w:bCs/>
        </w:rPr>
        <w:t xml:space="preserve">Provođenje programa stjecanja potrebnog znanja o sprečavanju zaraznih bolesti </w:t>
      </w:r>
      <w:r>
        <w:t>provodi se sljedećim aktivnostima: organizacija i provođenje tečajeva sukladno važećim propisima; organizacija i održavanje usmenih ispita pred ispitnom komisijom.</w:t>
      </w:r>
    </w:p>
    <w:p w14:paraId="6BBA3198">
      <w:pPr>
        <w:rPr>
          <w:i/>
        </w:rPr>
      </w:pPr>
      <w:r>
        <w:rPr>
          <w:i/>
        </w:rPr>
        <w:t>Planirani prihodi po izvorima:</w:t>
      </w:r>
    </w:p>
    <w:p w14:paraId="610D9638">
      <w:pPr>
        <w:ind w:left="709"/>
      </w:pPr>
      <w:r>
        <w:t>Usluge na tržištu.</w:t>
      </w:r>
    </w:p>
    <w:p w14:paraId="6148C1E0">
      <w:r>
        <w:rPr>
          <w:b/>
        </w:rPr>
        <w:t xml:space="preserve">Implementacija, revizija i monitoring HACCP sustava </w:t>
      </w:r>
      <w:r>
        <w:t>provodi se sljedećim aktivnostima: uspostave sustava sigurnosti hrane na načelima HACCP-a u objektima; teoretska i praktična edukacija zaposlenika za uspostavu HACCP sustava sigurnosti hrane; validacija i verifikacija HACCP sustava u objektu; revizija i održavanje HACCP sustava; trajna izobrazba zaposlenih osoba za održavanja HACCP sustava sigurnosti hrane.</w:t>
      </w:r>
    </w:p>
    <w:p w14:paraId="3F429EEB">
      <w:pPr>
        <w:rPr>
          <w:i/>
        </w:rPr>
      </w:pPr>
      <w:r>
        <w:rPr>
          <w:i/>
        </w:rPr>
        <w:t>Planirani prihodi po izvorima:</w:t>
      </w:r>
    </w:p>
    <w:p w14:paraId="79D77077">
      <w:pPr>
        <w:ind w:left="709"/>
      </w:pPr>
      <w:r>
        <w:t>Usluge na tržištu.</w:t>
      </w:r>
    </w:p>
    <w:p w14:paraId="33BD14EA"/>
    <w:p w14:paraId="3EBCE1F4">
      <w:pPr>
        <w:pStyle w:val="147"/>
      </w:pPr>
      <w:r>
        <w:t>ZAKONSKA PODLOGA NA KOJOJ SE ZASNIVA PROGRAM RADA SLUŽBE</w:t>
      </w:r>
    </w:p>
    <w:p w14:paraId="6F351BB7">
      <w:pPr>
        <w:numPr>
          <w:ilvl w:val="0"/>
          <w:numId w:val="5"/>
        </w:numPr>
      </w:pPr>
      <w:r>
        <w:t>Zakon o zdravstvenoj zaštiti (NN 100/18, 125/19, 119/22,156/22,33/23)</w:t>
      </w:r>
    </w:p>
    <w:p w14:paraId="63751FA8">
      <w:pPr>
        <w:numPr>
          <w:ilvl w:val="0"/>
          <w:numId w:val="5"/>
        </w:numPr>
      </w:pPr>
      <w:r>
        <w:t>Zakon o zaštiti pučanstva od zaraznih bolesti (NN 79/07, 113/08, 43/09, 130/17, 114/18, 47/20, 134/20, 143/21)</w:t>
      </w:r>
    </w:p>
    <w:p w14:paraId="1F4C6AB1">
      <w:pPr>
        <w:numPr>
          <w:ilvl w:val="0"/>
          <w:numId w:val="5"/>
        </w:numPr>
      </w:pPr>
      <w:bookmarkStart w:id="7" w:name="_Toc34125336"/>
      <w:bookmarkStart w:id="8" w:name="_Toc34125404"/>
      <w:r>
        <w:t>Lista zaraznih bolesti čije je sprječavanje i suzbijanje od interesa za Republiku Hrvatsku (NN 60/14)</w:t>
      </w:r>
      <w:bookmarkEnd w:id="7"/>
      <w:bookmarkEnd w:id="8"/>
    </w:p>
    <w:p w14:paraId="51A5C90A">
      <w:pPr>
        <w:numPr>
          <w:ilvl w:val="0"/>
          <w:numId w:val="5"/>
        </w:numPr>
      </w:pPr>
      <w:r>
        <w:t>Dopuna liste zaraznih bolesti čije je sprečavanje i suzbijanje od interesa za Republiku Hrvatsku (NN 73/22)</w:t>
      </w:r>
    </w:p>
    <w:p w14:paraId="601E5C13">
      <w:pPr>
        <w:numPr>
          <w:ilvl w:val="0"/>
          <w:numId w:val="5"/>
        </w:numPr>
      </w:pPr>
      <w:r>
        <w:t>Pravilnik o načinu obavljanja zdravstvenih pregleda osoba pod zdravstvenim nadzorom (NN 116/18)</w:t>
      </w:r>
    </w:p>
    <w:p w14:paraId="07BF1DC5">
      <w:pPr>
        <w:numPr>
          <w:ilvl w:val="0"/>
          <w:numId w:val="5"/>
        </w:numPr>
      </w:pPr>
      <w:r>
        <w:t>Pravilnik o načinu obavljanja zdravstvenih pregleda osoba koje su kliconoše ili se sumnja da su kliconoše određenih zaraznih bolesti (NN 116/18)</w:t>
      </w:r>
    </w:p>
    <w:p w14:paraId="49E5D260">
      <w:pPr>
        <w:numPr>
          <w:ilvl w:val="0"/>
          <w:numId w:val="5"/>
        </w:numPr>
      </w:pPr>
      <w:r>
        <w:t>Pravilnik o načinu provođenja imunizacije, seroprofilakse, kemoprofilakse protiv zaraznih bolesti te o osobama koje se moraju podvrgnuti toj obvezi (NN 103/13, 144/20, 133/22)</w:t>
      </w:r>
    </w:p>
    <w:p w14:paraId="10C4957A">
      <w:pPr>
        <w:numPr>
          <w:ilvl w:val="0"/>
          <w:numId w:val="5"/>
        </w:numPr>
      </w:pPr>
      <w:r>
        <w:t>Pravilnik o načinu i programu stjecanja potrebnog znanja o zdravstvenoj ispravnosti hrane (NN 116/18)</w:t>
      </w:r>
    </w:p>
    <w:p w14:paraId="60A732AC">
      <w:pPr>
        <w:numPr>
          <w:ilvl w:val="0"/>
          <w:numId w:val="5"/>
        </w:numPr>
      </w:pPr>
      <w:r>
        <w:t>Pravilnik o načinu i programu stjecanja potrebnog znanja o sprečavanju zaraznih bolesti (NN 116/18)</w:t>
      </w:r>
    </w:p>
    <w:p w14:paraId="094FEA06">
      <w:pPr>
        <w:numPr>
          <w:ilvl w:val="0"/>
          <w:numId w:val="5"/>
        </w:numPr>
      </w:pPr>
      <w:r>
        <w:t>Pravilnik o načinu provedbe obvezatne dezinfekcije, dezinsekcije i deratizacije (NN 35/07, 79/07 i 76/12)</w:t>
      </w:r>
    </w:p>
    <w:p w14:paraId="459EEC1D">
      <w:r>
        <w:t>Program mjera suzbijanja patogenih mikroorganizma, štetnih člankonožaca (Arthropoda) i štetnih glodavca čije je planirano, organizirano i sustavno suzbijanje mjerama dezinfekcije, dezinsekcije i deratizacije od javnozdravstvene važnosti za Republiku Hrvatsku (NN 128/11, 62/18).</w:t>
      </w:r>
    </w:p>
    <w:p w14:paraId="3971556E"/>
    <w:p w14:paraId="13E86DDB">
      <w:pPr>
        <w:pStyle w:val="147"/>
        <w:jc w:val="left"/>
      </w:pPr>
      <w:r>
        <w:t>USKLAĐENOST CILJEVA, STRATEGIJE PROGRAMA S DOKUMENTIMA DUGOROČNOG RAZVOJA</w:t>
      </w:r>
    </w:p>
    <w:p w14:paraId="56CB3290">
      <w:pPr>
        <w:rPr>
          <w:bCs/>
          <w:spacing w:val="-4"/>
        </w:rPr>
      </w:pPr>
      <w:r>
        <w:rPr>
          <w:spacing w:val="-4"/>
        </w:rPr>
        <w:t xml:space="preserve">Plan rada i obavljanja djelatnosti usko je povezano i usklađeno s dokumentima Ministarstva zdravstva: </w:t>
      </w:r>
      <w:r>
        <w:rPr>
          <w:bCs/>
          <w:spacing w:val="-4"/>
        </w:rPr>
        <w:t>Plan i program mjera zdravstvene zaštite 2023. – 2026. (NN 127/23).</w:t>
      </w:r>
    </w:p>
    <w:p w14:paraId="19A3DC24"/>
    <w:p w14:paraId="6C1E9CF7">
      <w:pPr>
        <w:pStyle w:val="147"/>
      </w:pPr>
      <w:r>
        <w:t>IZVJEŠTAJ O POSTIGNUTIM CILJEVIMA I REZULTATIMA PROGRAMA TEMELJENIM NA POKAZATELJIMA USPJEŠNOSTI U PRETHODNOJ GODINI</w:t>
      </w:r>
    </w:p>
    <w:p w14:paraId="6D78AEF5">
      <w:r>
        <w:t>Služba je u razdoblju od siječnja do rujna 2024. godine kroz Program prevencije i suzbijanja zaraznih bolesti kontinuirano registrirala i analizirala sve pristigle prijave zaraznih bolesti uz dodatno uložen trud zbog dvostrukog unosa podataka. Naime, provodi se unos u Nacionalnu informatičku aplikaciju za praćenje zaraznih bolesti iz koje nije moguće pravovremeno raspolagati podacima te se isti istovremeno unose i u aplikaciju koju je razvila Služba. U razdoblju od siječnja do rujna 2024. godine izdato je 32.800 sanitarnih iskaznica, zaprimljeno je 29.005 uzoraka vezano uz te preglede te je obavljeno 30.356 specijalističkih zdravstvenih pregleda. Kontinuirano se provodila distribucija cjepiva liječnicima primarne zdravstvene zaštite, poliklinikama i bolnicama, kao i specijalistički pregledi te cijepljenja prema epidemiološkim indikacijama. U svrhu antirabične zaštite provedeno je 294 pregleda i cijepljene su 83 osobe.</w:t>
      </w:r>
    </w:p>
    <w:p w14:paraId="49DCD754">
      <w:pPr>
        <w:rPr>
          <w:spacing w:val="-6"/>
        </w:rPr>
      </w:pPr>
      <w:r>
        <w:rPr>
          <w:spacing w:val="-6"/>
        </w:rPr>
        <w:t>S ciljem utvrđivanja uzročnika infektivnih bolesti, ali i dijagnostike drugih bolesti, u higijensko-epidemiološkim odjelima prikupljeno je 44.036 uzoraka za mikrobiološku dijagnostiku.</w:t>
      </w:r>
    </w:p>
    <w:p w14:paraId="383D81C4">
      <w:pPr>
        <w:rPr>
          <w:spacing w:val="-4"/>
        </w:rPr>
      </w:pPr>
      <w:r>
        <w:rPr>
          <w:spacing w:val="-4"/>
        </w:rPr>
        <w:t xml:space="preserve">U razdoblju siječanj – rujan 2024. godine provodio se Nacionalni program ranog otkrivanja raka dojke za žene u dobi 50 do 69 godina. Do kraja rujna poslan je 44.481 poziv na mamografski pregled te je korisnicima Programa pruženo 8.300 savjetodavnih usluga na besplatnom telefonu. U sklopu mamografske </w:t>
      </w:r>
      <w:r>
        <w:rPr>
          <w:i/>
          <w:iCs/>
          <w:spacing w:val="-4"/>
        </w:rPr>
        <w:t>skrining</w:t>
      </w:r>
      <w:r>
        <w:rPr>
          <w:spacing w:val="-4"/>
        </w:rPr>
        <w:t>-jedinice obavljeno je 3.176 mamografska snimanja te je isto toliko nalaza poslano na kućne adrese. U sklopu Nacionalnog programa ranog otkrivanja raka debelog crijeva poslano je 47.525 prvih poziva stanovnicima, 12.370 kompleta za testiranje stolice na okultno krvarenje te je provedeno 8.406 testiranja, a 153 osobe s pozitivnim nalazom naručene su na kolonoskopiju.</w:t>
      </w:r>
    </w:p>
    <w:p w14:paraId="2AA80449">
      <w:r>
        <w:t>U sklopu Programa Preventivne mobilne mamografije mamografski pregled obavilo je 1.588 žena te je isto toliko RTG-snimaka pohranjeno na CD, očitano od strane dva radiologa, ispisano nalaza, upisano u bazu podataka te su nalazi i snimke poslani na kućne adrese žena.</w:t>
      </w:r>
    </w:p>
    <w:p w14:paraId="0AB93452">
      <w:r>
        <w:t xml:space="preserve">Kontinuirano se nastavlja pismeno odgovaranje na upite građana putem e-pošte. U pripravnosti je u razdoblju od 01.01. do 30.09.2024. godine zaprimljeno 346 poziva, putem e-adrese </w:t>
      </w:r>
      <w:r>
        <w:rPr>
          <w:i/>
          <w:iCs/>
        </w:rPr>
        <w:t>epidemiologija@stampar.hr</w:t>
      </w:r>
      <w:r>
        <w:t xml:space="preserve"> odgovoreno je na 3.012 upita, dok je s adrese </w:t>
      </w:r>
      <w:r>
        <w:rPr>
          <w:i/>
          <w:iCs/>
        </w:rPr>
        <w:t>nezarazne@stampar.hr</w:t>
      </w:r>
      <w:r>
        <w:t xml:space="preserve"> odgovoreno na 1.230 upita.</w:t>
      </w:r>
    </w:p>
    <w:p w14:paraId="7E18F26B">
      <w:r>
        <w:t>U Programu istraživanja, praćenja i suzbijanja vektora zaraznih bolesti do kraja rujna 2024. godine provedeno je 1.619 terenskih izvida radi istraživanja prijenosnika bolesti i stručnog nadzora nad provedbom Programa mjera i Provedbenog plana preventivne i obvezne preventivne dezinfekcije, dezinsekcije i deratizacije za područje grada Zagreba. U okviru istraživanja i praćenja kukaca prijenosnika bolesti provedeno je 9.784 determinacija vrsta i laboratorijskih obrada. Prema sklopljenim ugovorima te narudžbama pravnih osoba i građana obavljeno je 1.300 usluga dezinfekcije, dezinsekcije i deratizacije.</w:t>
      </w:r>
    </w:p>
    <w:p w14:paraId="31074703">
      <w:r>
        <w:t>U razdoblju od siječnja do rujna 2024. godine održano je 277 tečajeva higijenskog minimuma koje je pohađalo 5.112 polaznika. Održano je 4.202 ispita. Izvršeno je 9 obilazaka objekata radi analize stanja objekta za uspostavu HACCP sustava sigurnosti hrane na načelima HACCP-a. U 19 objekta provedena je edukacija zaposlenih osoba te je izvršeno 17 verifikacija uspostavljenih HACCP sustava.</w:t>
      </w:r>
    </w:p>
    <w:p w14:paraId="7E53ED1A">
      <w:r>
        <w:br w:type="page"/>
      </w:r>
    </w:p>
    <w:p w14:paraId="6C6BAB01"/>
    <w:p w14:paraId="5242C402">
      <w:pPr>
        <w:pStyle w:val="147"/>
      </w:pPr>
      <w:r>
        <w:t>EPIDEMIOLOŠKE AKTIVNOSTI (REALIZIRANE I PLANIRANE)</w:t>
      </w:r>
    </w:p>
    <w:p w14:paraId="5E46D00E">
      <w:pPr>
        <w:pStyle w:val="147"/>
      </w:pPr>
    </w:p>
    <w:p w14:paraId="666671A4">
      <w:pPr>
        <w:rPr>
          <w:i/>
        </w:rPr>
      </w:pPr>
      <w:r>
        <w:rPr>
          <w:i/>
        </w:rPr>
        <w:t>Tablica – Realizirane usluge u razdoblju od 1. 1. do 30. 9. 2024. godine i planirane u 2025. godini</w:t>
      </w:r>
    </w:p>
    <w:tbl>
      <w:tblPr>
        <w:tblStyle w:val="12"/>
        <w:tblW w:w="5000" w:type="pct"/>
        <w:tblInd w:w="0" w:type="dxa"/>
        <w:tblLayout w:type="autofit"/>
        <w:tblCellMar>
          <w:top w:w="0" w:type="dxa"/>
          <w:left w:w="108" w:type="dxa"/>
          <w:bottom w:w="0" w:type="dxa"/>
          <w:right w:w="108" w:type="dxa"/>
        </w:tblCellMar>
      </w:tblPr>
      <w:tblGrid>
        <w:gridCol w:w="2465"/>
        <w:gridCol w:w="3466"/>
        <w:gridCol w:w="1679"/>
        <w:gridCol w:w="1678"/>
      </w:tblGrid>
      <w:tr w14:paraId="0DF54B4A">
        <w:tblPrEx>
          <w:tblCellMar>
            <w:top w:w="0" w:type="dxa"/>
            <w:left w:w="108" w:type="dxa"/>
            <w:bottom w:w="0" w:type="dxa"/>
            <w:right w:w="108" w:type="dxa"/>
          </w:tblCellMar>
        </w:tblPrEx>
        <w:trPr>
          <w:trHeight w:val="1166" w:hRule="atLeast"/>
          <w:tblHeader/>
        </w:trPr>
        <w:tc>
          <w:tcPr>
            <w:tcW w:w="1327" w:type="pct"/>
            <w:tcBorders>
              <w:top w:val="single" w:color="auto" w:sz="4" w:space="0"/>
              <w:left w:val="single" w:color="auto" w:sz="4" w:space="0"/>
              <w:bottom w:val="double" w:color="auto" w:sz="4" w:space="0"/>
              <w:right w:val="single" w:color="auto" w:sz="4" w:space="0"/>
            </w:tcBorders>
            <w:vAlign w:val="center"/>
          </w:tcPr>
          <w:p w14:paraId="2D7DB95C">
            <w:pPr>
              <w:pStyle w:val="150"/>
              <w:jc w:val="left"/>
              <w:rPr>
                <w:i/>
                <w:iCs w:val="0"/>
              </w:rPr>
            </w:pPr>
            <w:r>
              <w:rPr>
                <w:i/>
                <w:iCs w:val="0"/>
              </w:rPr>
              <w:t>Usluga</w:t>
            </w:r>
          </w:p>
        </w:tc>
        <w:tc>
          <w:tcPr>
            <w:tcW w:w="1866" w:type="pct"/>
            <w:tcBorders>
              <w:top w:val="single" w:color="auto" w:sz="4" w:space="0"/>
              <w:left w:val="nil"/>
              <w:bottom w:val="double" w:color="auto" w:sz="4" w:space="0"/>
              <w:right w:val="single" w:color="auto" w:sz="4" w:space="0"/>
            </w:tcBorders>
            <w:vAlign w:val="center"/>
          </w:tcPr>
          <w:p w14:paraId="4B3CBFFC">
            <w:pPr>
              <w:pStyle w:val="150"/>
              <w:jc w:val="left"/>
              <w:rPr>
                <w:i/>
                <w:iCs w:val="0"/>
              </w:rPr>
            </w:pPr>
            <w:r>
              <w:rPr>
                <w:i/>
                <w:iCs w:val="0"/>
              </w:rPr>
              <w:t>Aktivnost</w:t>
            </w:r>
          </w:p>
        </w:tc>
        <w:tc>
          <w:tcPr>
            <w:tcW w:w="904" w:type="pct"/>
            <w:tcBorders>
              <w:top w:val="single" w:color="auto" w:sz="4" w:space="0"/>
              <w:left w:val="nil"/>
              <w:bottom w:val="double" w:color="auto" w:sz="4" w:space="0"/>
              <w:right w:val="single" w:color="auto" w:sz="4" w:space="0"/>
            </w:tcBorders>
            <w:vAlign w:val="center"/>
          </w:tcPr>
          <w:p w14:paraId="749DFDE9">
            <w:pPr>
              <w:pStyle w:val="150"/>
              <w:rPr>
                <w:i/>
                <w:iCs w:val="0"/>
              </w:rPr>
            </w:pPr>
            <w:r>
              <w:rPr>
                <w:i/>
                <w:iCs w:val="0"/>
              </w:rPr>
              <w:t>Realizirano do 30. 9. 2024.</w:t>
            </w:r>
          </w:p>
        </w:tc>
        <w:tc>
          <w:tcPr>
            <w:tcW w:w="903" w:type="pct"/>
            <w:tcBorders>
              <w:top w:val="single" w:color="auto" w:sz="4" w:space="0"/>
              <w:left w:val="nil"/>
              <w:bottom w:val="double" w:color="auto" w:sz="4" w:space="0"/>
              <w:right w:val="single" w:color="auto" w:sz="4" w:space="0"/>
            </w:tcBorders>
            <w:vAlign w:val="center"/>
          </w:tcPr>
          <w:p w14:paraId="6C22CBE7">
            <w:pPr>
              <w:pStyle w:val="150"/>
              <w:rPr>
                <w:i/>
                <w:iCs w:val="0"/>
              </w:rPr>
            </w:pPr>
            <w:r>
              <w:rPr>
                <w:i/>
                <w:iCs w:val="0"/>
              </w:rPr>
              <w:t>Planirano u 2025.</w:t>
            </w:r>
          </w:p>
        </w:tc>
      </w:tr>
      <w:tr w14:paraId="5B869DCD">
        <w:tblPrEx>
          <w:tblCellMar>
            <w:top w:w="0" w:type="dxa"/>
            <w:left w:w="108" w:type="dxa"/>
            <w:bottom w:w="0" w:type="dxa"/>
            <w:right w:w="108" w:type="dxa"/>
          </w:tblCellMar>
        </w:tblPrEx>
        <w:trPr>
          <w:trHeight w:val="567" w:hRule="atLeast"/>
        </w:trPr>
        <w:tc>
          <w:tcPr>
            <w:tcW w:w="1327" w:type="pct"/>
            <w:vMerge w:val="restart"/>
            <w:tcBorders>
              <w:top w:val="double" w:color="auto" w:sz="4" w:space="0"/>
              <w:left w:val="single" w:color="auto" w:sz="4" w:space="0"/>
              <w:right w:val="single" w:color="auto" w:sz="4" w:space="0"/>
            </w:tcBorders>
            <w:vAlign w:val="center"/>
          </w:tcPr>
          <w:p w14:paraId="16561ECA">
            <w:pPr>
              <w:pStyle w:val="150"/>
              <w:jc w:val="left"/>
              <w:rPr>
                <w:sz w:val="20"/>
                <w:szCs w:val="20"/>
              </w:rPr>
            </w:pPr>
            <w:r>
              <w:rPr>
                <w:sz w:val="20"/>
                <w:szCs w:val="20"/>
              </w:rPr>
              <w:t>Prijava zaraznih bolesti i epidemiološke intervencije</w:t>
            </w:r>
          </w:p>
        </w:tc>
        <w:tc>
          <w:tcPr>
            <w:tcW w:w="1866" w:type="pct"/>
            <w:tcBorders>
              <w:top w:val="double" w:color="auto" w:sz="4" w:space="0"/>
              <w:left w:val="nil"/>
              <w:bottom w:val="single" w:color="auto" w:sz="4" w:space="0"/>
              <w:right w:val="single" w:color="auto" w:sz="4" w:space="0"/>
            </w:tcBorders>
            <w:vAlign w:val="center"/>
          </w:tcPr>
          <w:p w14:paraId="00E7FB1C">
            <w:pPr>
              <w:pStyle w:val="150"/>
              <w:jc w:val="left"/>
              <w:rPr>
                <w:sz w:val="20"/>
                <w:szCs w:val="20"/>
              </w:rPr>
            </w:pPr>
            <w:r>
              <w:rPr>
                <w:sz w:val="20"/>
                <w:szCs w:val="20"/>
              </w:rPr>
              <w:t>Prijava zaraznih bolesti</w:t>
            </w:r>
          </w:p>
        </w:tc>
        <w:tc>
          <w:tcPr>
            <w:tcW w:w="904" w:type="pct"/>
            <w:tcBorders>
              <w:top w:val="double" w:color="auto" w:sz="4" w:space="0"/>
              <w:left w:val="nil"/>
              <w:bottom w:val="single" w:color="auto" w:sz="4" w:space="0"/>
              <w:right w:val="single" w:color="auto" w:sz="4" w:space="0"/>
            </w:tcBorders>
            <w:vAlign w:val="center"/>
          </w:tcPr>
          <w:p w14:paraId="5E991ED6">
            <w:pPr>
              <w:pStyle w:val="150"/>
              <w:rPr>
                <w:sz w:val="20"/>
                <w:szCs w:val="20"/>
              </w:rPr>
            </w:pPr>
            <w:r>
              <w:rPr>
                <w:rFonts w:cstheme="minorHAnsi"/>
                <w:sz w:val="20"/>
                <w:szCs w:val="20"/>
              </w:rPr>
              <w:t>15.022</w:t>
            </w:r>
          </w:p>
        </w:tc>
        <w:tc>
          <w:tcPr>
            <w:tcW w:w="903" w:type="pct"/>
            <w:tcBorders>
              <w:top w:val="double" w:color="auto" w:sz="4" w:space="0"/>
              <w:left w:val="nil"/>
              <w:bottom w:val="single" w:color="auto" w:sz="4" w:space="0"/>
              <w:right w:val="single" w:color="auto" w:sz="4" w:space="0"/>
            </w:tcBorders>
            <w:vAlign w:val="center"/>
          </w:tcPr>
          <w:p w14:paraId="3340E464">
            <w:pPr>
              <w:pStyle w:val="150"/>
              <w:rPr>
                <w:sz w:val="20"/>
                <w:szCs w:val="20"/>
              </w:rPr>
            </w:pPr>
            <w:r>
              <w:rPr>
                <w:sz w:val="20"/>
                <w:szCs w:val="20"/>
              </w:rPr>
              <w:t>20.000</w:t>
            </w:r>
          </w:p>
        </w:tc>
      </w:tr>
      <w:tr w14:paraId="684FF366">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5660BAA1">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57E4A7AD">
            <w:pPr>
              <w:pStyle w:val="150"/>
              <w:jc w:val="left"/>
              <w:rPr>
                <w:sz w:val="20"/>
                <w:szCs w:val="20"/>
              </w:rPr>
            </w:pPr>
            <w:r>
              <w:rPr>
                <w:sz w:val="20"/>
                <w:szCs w:val="20"/>
              </w:rPr>
              <w:t>Prijava epidemija</w:t>
            </w:r>
          </w:p>
        </w:tc>
        <w:tc>
          <w:tcPr>
            <w:tcW w:w="904" w:type="pct"/>
            <w:tcBorders>
              <w:top w:val="single" w:color="auto" w:sz="4" w:space="0"/>
              <w:left w:val="nil"/>
              <w:bottom w:val="single" w:color="auto" w:sz="4" w:space="0"/>
              <w:right w:val="single" w:color="auto" w:sz="4" w:space="0"/>
            </w:tcBorders>
            <w:vAlign w:val="center"/>
          </w:tcPr>
          <w:p w14:paraId="7A0174FB">
            <w:pPr>
              <w:pStyle w:val="150"/>
              <w:rPr>
                <w:sz w:val="20"/>
                <w:szCs w:val="20"/>
              </w:rPr>
            </w:pPr>
            <w:r>
              <w:rPr>
                <w:rFonts w:cstheme="minorHAnsi"/>
                <w:sz w:val="20"/>
                <w:szCs w:val="20"/>
              </w:rPr>
              <w:t>24</w:t>
            </w:r>
          </w:p>
        </w:tc>
        <w:tc>
          <w:tcPr>
            <w:tcW w:w="903" w:type="pct"/>
            <w:tcBorders>
              <w:top w:val="single" w:color="auto" w:sz="4" w:space="0"/>
              <w:left w:val="nil"/>
              <w:bottom w:val="single" w:color="auto" w:sz="4" w:space="0"/>
              <w:right w:val="single" w:color="auto" w:sz="4" w:space="0"/>
            </w:tcBorders>
            <w:vAlign w:val="center"/>
          </w:tcPr>
          <w:p w14:paraId="24F1B8EC">
            <w:pPr>
              <w:pStyle w:val="150"/>
              <w:rPr>
                <w:sz w:val="20"/>
                <w:szCs w:val="20"/>
              </w:rPr>
            </w:pPr>
            <w:r>
              <w:rPr>
                <w:sz w:val="20"/>
                <w:szCs w:val="20"/>
              </w:rPr>
              <w:t>30</w:t>
            </w:r>
          </w:p>
        </w:tc>
      </w:tr>
      <w:tr w14:paraId="4DA20F46">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5E397CB3">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5E71C767">
            <w:pPr>
              <w:pStyle w:val="150"/>
              <w:jc w:val="left"/>
              <w:rPr>
                <w:sz w:val="20"/>
                <w:szCs w:val="20"/>
              </w:rPr>
            </w:pPr>
            <w:r>
              <w:rPr>
                <w:sz w:val="20"/>
                <w:szCs w:val="20"/>
              </w:rPr>
              <w:t>Epidemiološki izvid</w:t>
            </w:r>
          </w:p>
        </w:tc>
        <w:tc>
          <w:tcPr>
            <w:tcW w:w="904" w:type="pct"/>
            <w:tcBorders>
              <w:top w:val="single" w:color="auto" w:sz="4" w:space="0"/>
              <w:left w:val="nil"/>
              <w:bottom w:val="single" w:color="auto" w:sz="4" w:space="0"/>
              <w:right w:val="single" w:color="auto" w:sz="4" w:space="0"/>
            </w:tcBorders>
            <w:vAlign w:val="center"/>
          </w:tcPr>
          <w:p w14:paraId="4DFB953B">
            <w:pPr>
              <w:pStyle w:val="150"/>
              <w:rPr>
                <w:sz w:val="20"/>
                <w:szCs w:val="20"/>
              </w:rPr>
            </w:pPr>
            <w:r>
              <w:rPr>
                <w:sz w:val="20"/>
                <w:szCs w:val="20"/>
              </w:rPr>
              <w:t>532</w:t>
            </w:r>
          </w:p>
        </w:tc>
        <w:tc>
          <w:tcPr>
            <w:tcW w:w="903" w:type="pct"/>
            <w:tcBorders>
              <w:top w:val="single" w:color="auto" w:sz="4" w:space="0"/>
              <w:left w:val="nil"/>
              <w:bottom w:val="single" w:color="auto" w:sz="4" w:space="0"/>
              <w:right w:val="single" w:color="auto" w:sz="4" w:space="0"/>
            </w:tcBorders>
            <w:vAlign w:val="center"/>
          </w:tcPr>
          <w:p w14:paraId="4798D7F8">
            <w:pPr>
              <w:pStyle w:val="150"/>
              <w:rPr>
                <w:sz w:val="20"/>
                <w:szCs w:val="20"/>
              </w:rPr>
            </w:pPr>
            <w:r>
              <w:rPr>
                <w:sz w:val="20"/>
                <w:szCs w:val="20"/>
              </w:rPr>
              <w:t>500</w:t>
            </w:r>
          </w:p>
        </w:tc>
      </w:tr>
      <w:tr w14:paraId="651F7CD1">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5D30C386">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32C9D661">
            <w:pPr>
              <w:pStyle w:val="150"/>
              <w:jc w:val="left"/>
              <w:rPr>
                <w:sz w:val="20"/>
                <w:szCs w:val="20"/>
              </w:rPr>
            </w:pPr>
            <w:r>
              <w:rPr>
                <w:sz w:val="20"/>
                <w:szCs w:val="20"/>
              </w:rPr>
              <w:t>Epidemiološka anketa</w:t>
            </w:r>
          </w:p>
        </w:tc>
        <w:tc>
          <w:tcPr>
            <w:tcW w:w="904" w:type="pct"/>
            <w:tcBorders>
              <w:top w:val="single" w:color="auto" w:sz="4" w:space="0"/>
              <w:left w:val="nil"/>
              <w:bottom w:val="single" w:color="auto" w:sz="4" w:space="0"/>
              <w:right w:val="single" w:color="auto" w:sz="4" w:space="0"/>
            </w:tcBorders>
            <w:vAlign w:val="center"/>
          </w:tcPr>
          <w:p w14:paraId="043213E5">
            <w:pPr>
              <w:pStyle w:val="150"/>
              <w:rPr>
                <w:sz w:val="20"/>
                <w:szCs w:val="20"/>
              </w:rPr>
            </w:pPr>
            <w:r>
              <w:rPr>
                <w:sz w:val="20"/>
                <w:szCs w:val="20"/>
              </w:rPr>
              <w:t>8.136</w:t>
            </w:r>
          </w:p>
        </w:tc>
        <w:tc>
          <w:tcPr>
            <w:tcW w:w="903" w:type="pct"/>
            <w:tcBorders>
              <w:top w:val="single" w:color="auto" w:sz="4" w:space="0"/>
              <w:left w:val="nil"/>
              <w:bottom w:val="single" w:color="auto" w:sz="4" w:space="0"/>
              <w:right w:val="single" w:color="auto" w:sz="4" w:space="0"/>
            </w:tcBorders>
            <w:vAlign w:val="center"/>
          </w:tcPr>
          <w:p w14:paraId="1031E4B4">
            <w:pPr>
              <w:pStyle w:val="150"/>
              <w:rPr>
                <w:sz w:val="20"/>
                <w:szCs w:val="20"/>
              </w:rPr>
            </w:pPr>
            <w:r>
              <w:rPr>
                <w:sz w:val="20"/>
                <w:szCs w:val="20"/>
              </w:rPr>
              <w:t>10.000</w:t>
            </w:r>
          </w:p>
        </w:tc>
      </w:tr>
      <w:tr w14:paraId="4D7B2D94">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right w:val="single" w:color="auto" w:sz="4" w:space="0"/>
            </w:tcBorders>
            <w:vAlign w:val="center"/>
          </w:tcPr>
          <w:p w14:paraId="04045D4F">
            <w:pPr>
              <w:pStyle w:val="150"/>
              <w:jc w:val="left"/>
              <w:rPr>
                <w:sz w:val="20"/>
                <w:szCs w:val="20"/>
              </w:rPr>
            </w:pPr>
            <w:r>
              <w:rPr>
                <w:sz w:val="20"/>
                <w:szCs w:val="20"/>
              </w:rPr>
              <w:t>Cijepljenje</w:t>
            </w:r>
          </w:p>
        </w:tc>
        <w:tc>
          <w:tcPr>
            <w:tcW w:w="1866" w:type="pct"/>
            <w:tcBorders>
              <w:top w:val="single" w:color="auto" w:sz="4" w:space="0"/>
              <w:left w:val="nil"/>
              <w:bottom w:val="single" w:color="auto" w:sz="4" w:space="0"/>
              <w:right w:val="single" w:color="auto" w:sz="4" w:space="0"/>
            </w:tcBorders>
            <w:vAlign w:val="center"/>
          </w:tcPr>
          <w:p w14:paraId="367C4B15">
            <w:pPr>
              <w:pStyle w:val="150"/>
              <w:jc w:val="left"/>
              <w:rPr>
                <w:sz w:val="20"/>
                <w:szCs w:val="20"/>
              </w:rPr>
            </w:pPr>
            <w:r>
              <w:rPr>
                <w:sz w:val="20"/>
                <w:szCs w:val="20"/>
              </w:rPr>
              <w:t>Distribucija cjepiva</w:t>
            </w:r>
          </w:p>
        </w:tc>
        <w:tc>
          <w:tcPr>
            <w:tcW w:w="904" w:type="pct"/>
            <w:tcBorders>
              <w:top w:val="single" w:color="auto" w:sz="4" w:space="0"/>
              <w:left w:val="nil"/>
              <w:bottom w:val="single" w:color="auto" w:sz="4" w:space="0"/>
              <w:right w:val="single" w:color="auto" w:sz="4" w:space="0"/>
            </w:tcBorders>
            <w:vAlign w:val="center"/>
          </w:tcPr>
          <w:p w14:paraId="595944FC">
            <w:pPr>
              <w:pStyle w:val="150"/>
              <w:rPr>
                <w:sz w:val="20"/>
                <w:szCs w:val="20"/>
              </w:rPr>
            </w:pPr>
            <w:r>
              <w:rPr>
                <w:sz w:val="20"/>
                <w:szCs w:val="20"/>
              </w:rPr>
              <w:t>207.337</w:t>
            </w:r>
          </w:p>
        </w:tc>
        <w:tc>
          <w:tcPr>
            <w:tcW w:w="903" w:type="pct"/>
            <w:tcBorders>
              <w:top w:val="single" w:color="auto" w:sz="4" w:space="0"/>
              <w:left w:val="nil"/>
              <w:bottom w:val="single" w:color="auto" w:sz="4" w:space="0"/>
              <w:right w:val="single" w:color="auto" w:sz="4" w:space="0"/>
            </w:tcBorders>
            <w:vAlign w:val="center"/>
          </w:tcPr>
          <w:p w14:paraId="50B86803">
            <w:pPr>
              <w:pStyle w:val="150"/>
              <w:rPr>
                <w:sz w:val="20"/>
                <w:szCs w:val="20"/>
              </w:rPr>
            </w:pPr>
            <w:r>
              <w:rPr>
                <w:sz w:val="20"/>
                <w:szCs w:val="20"/>
              </w:rPr>
              <w:t>300.000</w:t>
            </w:r>
          </w:p>
        </w:tc>
      </w:tr>
      <w:tr w14:paraId="2EDD1990">
        <w:tblPrEx>
          <w:tblCellMar>
            <w:top w:w="0" w:type="dxa"/>
            <w:left w:w="108" w:type="dxa"/>
            <w:bottom w:w="0" w:type="dxa"/>
            <w:right w:w="108" w:type="dxa"/>
          </w:tblCellMar>
        </w:tblPrEx>
        <w:trPr>
          <w:trHeight w:val="567" w:hRule="atLeast"/>
        </w:trPr>
        <w:tc>
          <w:tcPr>
            <w:tcW w:w="1327" w:type="pct"/>
            <w:vMerge w:val="continue"/>
            <w:tcBorders>
              <w:left w:val="single" w:color="auto" w:sz="4" w:space="0"/>
              <w:bottom w:val="single" w:color="auto" w:sz="4" w:space="0"/>
              <w:right w:val="single" w:color="auto" w:sz="4" w:space="0"/>
            </w:tcBorders>
            <w:vAlign w:val="center"/>
          </w:tcPr>
          <w:p w14:paraId="09907597">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05FBC7C6">
            <w:pPr>
              <w:pStyle w:val="150"/>
              <w:jc w:val="left"/>
              <w:rPr>
                <w:sz w:val="20"/>
                <w:szCs w:val="20"/>
              </w:rPr>
            </w:pPr>
            <w:r>
              <w:rPr>
                <w:sz w:val="20"/>
                <w:szCs w:val="20"/>
              </w:rPr>
              <w:t>Provođenje cijepljenja</w:t>
            </w:r>
          </w:p>
        </w:tc>
        <w:tc>
          <w:tcPr>
            <w:tcW w:w="904" w:type="pct"/>
            <w:tcBorders>
              <w:top w:val="single" w:color="auto" w:sz="4" w:space="0"/>
              <w:left w:val="nil"/>
              <w:bottom w:val="single" w:color="auto" w:sz="4" w:space="0"/>
              <w:right w:val="single" w:color="auto" w:sz="4" w:space="0"/>
            </w:tcBorders>
            <w:vAlign w:val="center"/>
          </w:tcPr>
          <w:p w14:paraId="272BA6F6">
            <w:pPr>
              <w:pStyle w:val="150"/>
              <w:rPr>
                <w:sz w:val="20"/>
                <w:szCs w:val="20"/>
              </w:rPr>
            </w:pPr>
            <w:r>
              <w:rPr>
                <w:sz w:val="20"/>
                <w:szCs w:val="20"/>
              </w:rPr>
              <w:t>6.845</w:t>
            </w:r>
          </w:p>
        </w:tc>
        <w:tc>
          <w:tcPr>
            <w:tcW w:w="903" w:type="pct"/>
            <w:tcBorders>
              <w:top w:val="single" w:color="auto" w:sz="4" w:space="0"/>
              <w:left w:val="nil"/>
              <w:bottom w:val="single" w:color="auto" w:sz="4" w:space="0"/>
              <w:right w:val="single" w:color="auto" w:sz="4" w:space="0"/>
            </w:tcBorders>
            <w:vAlign w:val="center"/>
          </w:tcPr>
          <w:p w14:paraId="50B0EF67">
            <w:pPr>
              <w:pStyle w:val="150"/>
              <w:rPr>
                <w:sz w:val="20"/>
                <w:szCs w:val="20"/>
              </w:rPr>
            </w:pPr>
            <w:r>
              <w:rPr>
                <w:sz w:val="20"/>
                <w:szCs w:val="20"/>
              </w:rPr>
              <w:t>9.000</w:t>
            </w:r>
          </w:p>
        </w:tc>
      </w:tr>
      <w:tr w14:paraId="5790975D">
        <w:tblPrEx>
          <w:tblCellMar>
            <w:top w:w="0" w:type="dxa"/>
            <w:left w:w="108" w:type="dxa"/>
            <w:bottom w:w="0" w:type="dxa"/>
            <w:right w:w="108" w:type="dxa"/>
          </w:tblCellMar>
        </w:tblPrEx>
        <w:trPr>
          <w:trHeight w:val="567" w:hRule="atLeast"/>
        </w:trPr>
        <w:tc>
          <w:tcPr>
            <w:tcW w:w="1327" w:type="pct"/>
            <w:tcBorders>
              <w:top w:val="single" w:color="auto" w:sz="4" w:space="0"/>
              <w:left w:val="single" w:color="auto" w:sz="4" w:space="0"/>
              <w:bottom w:val="single" w:color="auto" w:sz="4" w:space="0"/>
              <w:right w:val="single" w:color="auto" w:sz="4" w:space="0"/>
            </w:tcBorders>
            <w:vAlign w:val="center"/>
          </w:tcPr>
          <w:p w14:paraId="732A664D">
            <w:pPr>
              <w:pStyle w:val="150"/>
              <w:jc w:val="left"/>
              <w:rPr>
                <w:sz w:val="20"/>
                <w:szCs w:val="20"/>
              </w:rPr>
            </w:pPr>
            <w:r>
              <w:rPr>
                <w:sz w:val="20"/>
                <w:szCs w:val="20"/>
              </w:rPr>
              <w:t>Uzimanje uzoraka prema indikacijama</w:t>
            </w:r>
          </w:p>
        </w:tc>
        <w:tc>
          <w:tcPr>
            <w:tcW w:w="1866" w:type="pct"/>
            <w:tcBorders>
              <w:top w:val="single" w:color="auto" w:sz="4" w:space="0"/>
              <w:left w:val="nil"/>
              <w:bottom w:val="single" w:color="auto" w:sz="4" w:space="0"/>
              <w:right w:val="single" w:color="auto" w:sz="4" w:space="0"/>
            </w:tcBorders>
            <w:vAlign w:val="center"/>
          </w:tcPr>
          <w:p w14:paraId="3CA392A1">
            <w:pPr>
              <w:pStyle w:val="150"/>
              <w:jc w:val="left"/>
              <w:rPr>
                <w:sz w:val="20"/>
                <w:szCs w:val="20"/>
              </w:rPr>
            </w:pPr>
            <w:r>
              <w:rPr>
                <w:sz w:val="20"/>
                <w:szCs w:val="20"/>
              </w:rPr>
              <w:t>Uzimanje uzoraka</w:t>
            </w:r>
          </w:p>
        </w:tc>
        <w:tc>
          <w:tcPr>
            <w:tcW w:w="904" w:type="pct"/>
            <w:tcBorders>
              <w:top w:val="single" w:color="auto" w:sz="4" w:space="0"/>
              <w:left w:val="nil"/>
              <w:bottom w:val="single" w:color="auto" w:sz="4" w:space="0"/>
              <w:right w:val="single" w:color="auto" w:sz="4" w:space="0"/>
            </w:tcBorders>
            <w:vAlign w:val="center"/>
          </w:tcPr>
          <w:p w14:paraId="6A3D11AA">
            <w:pPr>
              <w:pStyle w:val="150"/>
              <w:rPr>
                <w:sz w:val="20"/>
                <w:szCs w:val="20"/>
              </w:rPr>
            </w:pPr>
            <w:r>
              <w:rPr>
                <w:rFonts w:cstheme="minorHAnsi"/>
                <w:sz w:val="20"/>
                <w:szCs w:val="20"/>
              </w:rPr>
              <w:t>44.036</w:t>
            </w:r>
          </w:p>
        </w:tc>
        <w:tc>
          <w:tcPr>
            <w:tcW w:w="903" w:type="pct"/>
            <w:tcBorders>
              <w:top w:val="single" w:color="auto" w:sz="4" w:space="0"/>
              <w:left w:val="nil"/>
              <w:bottom w:val="single" w:color="auto" w:sz="4" w:space="0"/>
              <w:right w:val="single" w:color="auto" w:sz="4" w:space="0"/>
            </w:tcBorders>
            <w:vAlign w:val="center"/>
          </w:tcPr>
          <w:p w14:paraId="43DB852B">
            <w:pPr>
              <w:pStyle w:val="150"/>
              <w:rPr>
                <w:sz w:val="20"/>
                <w:szCs w:val="20"/>
              </w:rPr>
            </w:pPr>
            <w:r>
              <w:rPr>
                <w:sz w:val="20"/>
                <w:szCs w:val="20"/>
              </w:rPr>
              <w:t>40.000</w:t>
            </w:r>
          </w:p>
        </w:tc>
      </w:tr>
      <w:tr w14:paraId="342DB09C">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right w:val="single" w:color="auto" w:sz="4" w:space="0"/>
            </w:tcBorders>
            <w:vAlign w:val="center"/>
          </w:tcPr>
          <w:p w14:paraId="610BB555">
            <w:pPr>
              <w:pStyle w:val="150"/>
              <w:jc w:val="left"/>
              <w:rPr>
                <w:spacing w:val="-6"/>
                <w:sz w:val="20"/>
                <w:szCs w:val="20"/>
              </w:rPr>
            </w:pPr>
            <w:r>
              <w:rPr>
                <w:spacing w:val="-6"/>
                <w:sz w:val="20"/>
                <w:szCs w:val="20"/>
              </w:rPr>
              <w:t>Zdravstveni pregledi osoba pod zdravstvenim nadzorom</w:t>
            </w:r>
          </w:p>
        </w:tc>
        <w:tc>
          <w:tcPr>
            <w:tcW w:w="1866" w:type="pct"/>
            <w:tcBorders>
              <w:top w:val="single" w:color="auto" w:sz="4" w:space="0"/>
              <w:left w:val="nil"/>
              <w:bottom w:val="single" w:color="auto" w:sz="4" w:space="0"/>
              <w:right w:val="single" w:color="auto" w:sz="4" w:space="0"/>
            </w:tcBorders>
            <w:vAlign w:val="center"/>
          </w:tcPr>
          <w:p w14:paraId="193862F6">
            <w:pPr>
              <w:pStyle w:val="150"/>
              <w:jc w:val="left"/>
              <w:rPr>
                <w:sz w:val="20"/>
                <w:szCs w:val="20"/>
              </w:rPr>
            </w:pPr>
            <w:r>
              <w:rPr>
                <w:sz w:val="20"/>
                <w:szCs w:val="20"/>
              </w:rPr>
              <w:t>Klinički pregled</w:t>
            </w:r>
          </w:p>
        </w:tc>
        <w:tc>
          <w:tcPr>
            <w:tcW w:w="904" w:type="pct"/>
            <w:tcBorders>
              <w:top w:val="single" w:color="auto" w:sz="4" w:space="0"/>
              <w:left w:val="nil"/>
              <w:bottom w:val="single" w:color="auto" w:sz="4" w:space="0"/>
              <w:right w:val="single" w:color="auto" w:sz="4" w:space="0"/>
            </w:tcBorders>
            <w:vAlign w:val="center"/>
          </w:tcPr>
          <w:p w14:paraId="23392C1E">
            <w:pPr>
              <w:pStyle w:val="150"/>
              <w:rPr>
                <w:sz w:val="20"/>
                <w:szCs w:val="20"/>
              </w:rPr>
            </w:pPr>
            <w:r>
              <w:rPr>
                <w:sz w:val="20"/>
                <w:szCs w:val="20"/>
              </w:rPr>
              <w:t>30.356</w:t>
            </w:r>
          </w:p>
        </w:tc>
        <w:tc>
          <w:tcPr>
            <w:tcW w:w="903" w:type="pct"/>
            <w:tcBorders>
              <w:top w:val="single" w:color="auto" w:sz="4" w:space="0"/>
              <w:left w:val="nil"/>
              <w:bottom w:val="single" w:color="auto" w:sz="4" w:space="0"/>
              <w:right w:val="single" w:color="auto" w:sz="4" w:space="0"/>
            </w:tcBorders>
            <w:vAlign w:val="center"/>
          </w:tcPr>
          <w:p w14:paraId="635E4FF1">
            <w:pPr>
              <w:pStyle w:val="150"/>
              <w:rPr>
                <w:sz w:val="20"/>
                <w:szCs w:val="20"/>
              </w:rPr>
            </w:pPr>
            <w:r>
              <w:rPr>
                <w:sz w:val="20"/>
                <w:szCs w:val="20"/>
              </w:rPr>
              <w:t>40.000</w:t>
            </w:r>
          </w:p>
        </w:tc>
      </w:tr>
      <w:tr w14:paraId="61E3D4D1">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57DD2544">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59EB7E50">
            <w:pPr>
              <w:pStyle w:val="150"/>
              <w:jc w:val="left"/>
              <w:rPr>
                <w:sz w:val="20"/>
                <w:szCs w:val="20"/>
              </w:rPr>
            </w:pPr>
            <w:r>
              <w:rPr>
                <w:sz w:val="20"/>
                <w:szCs w:val="20"/>
              </w:rPr>
              <w:t>Uzimanje uzoraka</w:t>
            </w:r>
          </w:p>
        </w:tc>
        <w:tc>
          <w:tcPr>
            <w:tcW w:w="904" w:type="pct"/>
            <w:tcBorders>
              <w:top w:val="single" w:color="auto" w:sz="4" w:space="0"/>
              <w:left w:val="nil"/>
              <w:bottom w:val="single" w:color="auto" w:sz="4" w:space="0"/>
              <w:right w:val="single" w:color="auto" w:sz="4" w:space="0"/>
            </w:tcBorders>
            <w:vAlign w:val="center"/>
          </w:tcPr>
          <w:p w14:paraId="3A59B062">
            <w:pPr>
              <w:pStyle w:val="150"/>
              <w:rPr>
                <w:sz w:val="20"/>
                <w:szCs w:val="20"/>
              </w:rPr>
            </w:pPr>
            <w:r>
              <w:rPr>
                <w:rFonts w:cstheme="minorHAnsi"/>
                <w:sz w:val="20"/>
                <w:szCs w:val="20"/>
              </w:rPr>
              <w:t>29.005</w:t>
            </w:r>
          </w:p>
        </w:tc>
        <w:tc>
          <w:tcPr>
            <w:tcW w:w="903" w:type="pct"/>
            <w:tcBorders>
              <w:top w:val="single" w:color="auto" w:sz="4" w:space="0"/>
              <w:left w:val="nil"/>
              <w:bottom w:val="single" w:color="auto" w:sz="4" w:space="0"/>
              <w:right w:val="single" w:color="auto" w:sz="4" w:space="0"/>
            </w:tcBorders>
            <w:vAlign w:val="center"/>
          </w:tcPr>
          <w:p w14:paraId="1DD079F8">
            <w:pPr>
              <w:pStyle w:val="150"/>
              <w:rPr>
                <w:sz w:val="20"/>
                <w:szCs w:val="20"/>
              </w:rPr>
            </w:pPr>
            <w:r>
              <w:rPr>
                <w:sz w:val="20"/>
                <w:szCs w:val="20"/>
              </w:rPr>
              <w:t>35.000</w:t>
            </w:r>
          </w:p>
        </w:tc>
      </w:tr>
      <w:tr w14:paraId="67675F40">
        <w:tblPrEx>
          <w:tblCellMar>
            <w:top w:w="0" w:type="dxa"/>
            <w:left w:w="108" w:type="dxa"/>
            <w:bottom w:w="0" w:type="dxa"/>
            <w:right w:w="108" w:type="dxa"/>
          </w:tblCellMar>
        </w:tblPrEx>
        <w:trPr>
          <w:trHeight w:val="567" w:hRule="atLeast"/>
        </w:trPr>
        <w:tc>
          <w:tcPr>
            <w:tcW w:w="1327" w:type="pct"/>
            <w:vMerge w:val="continue"/>
            <w:tcBorders>
              <w:left w:val="single" w:color="auto" w:sz="4" w:space="0"/>
              <w:bottom w:val="single" w:color="auto" w:sz="4" w:space="0"/>
              <w:right w:val="single" w:color="auto" w:sz="4" w:space="0"/>
            </w:tcBorders>
            <w:vAlign w:val="center"/>
          </w:tcPr>
          <w:p w14:paraId="7C6838D4">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4559143A">
            <w:pPr>
              <w:pStyle w:val="150"/>
              <w:jc w:val="left"/>
              <w:rPr>
                <w:sz w:val="20"/>
                <w:szCs w:val="20"/>
              </w:rPr>
            </w:pPr>
            <w:r>
              <w:rPr>
                <w:sz w:val="20"/>
                <w:szCs w:val="20"/>
              </w:rPr>
              <w:t>Izdavanje sanitarnih knjižica</w:t>
            </w:r>
          </w:p>
        </w:tc>
        <w:tc>
          <w:tcPr>
            <w:tcW w:w="904" w:type="pct"/>
            <w:tcBorders>
              <w:top w:val="single" w:color="auto" w:sz="4" w:space="0"/>
              <w:left w:val="nil"/>
              <w:bottom w:val="single" w:color="auto" w:sz="4" w:space="0"/>
              <w:right w:val="single" w:color="auto" w:sz="4" w:space="0"/>
            </w:tcBorders>
            <w:vAlign w:val="center"/>
          </w:tcPr>
          <w:p w14:paraId="0569CE9D">
            <w:pPr>
              <w:pStyle w:val="150"/>
              <w:rPr>
                <w:sz w:val="20"/>
                <w:szCs w:val="20"/>
              </w:rPr>
            </w:pPr>
            <w:r>
              <w:rPr>
                <w:rFonts w:cstheme="minorHAnsi"/>
                <w:sz w:val="20"/>
                <w:szCs w:val="20"/>
              </w:rPr>
              <w:t>32.800</w:t>
            </w:r>
          </w:p>
        </w:tc>
        <w:tc>
          <w:tcPr>
            <w:tcW w:w="903" w:type="pct"/>
            <w:tcBorders>
              <w:top w:val="single" w:color="auto" w:sz="4" w:space="0"/>
              <w:left w:val="nil"/>
              <w:bottom w:val="single" w:color="auto" w:sz="4" w:space="0"/>
              <w:right w:val="single" w:color="auto" w:sz="4" w:space="0"/>
            </w:tcBorders>
            <w:vAlign w:val="center"/>
          </w:tcPr>
          <w:p w14:paraId="472812D5">
            <w:pPr>
              <w:pStyle w:val="150"/>
              <w:rPr>
                <w:sz w:val="20"/>
                <w:szCs w:val="20"/>
              </w:rPr>
            </w:pPr>
            <w:r>
              <w:rPr>
                <w:sz w:val="20"/>
                <w:szCs w:val="20"/>
              </w:rPr>
              <w:t>40.000</w:t>
            </w:r>
          </w:p>
        </w:tc>
      </w:tr>
      <w:tr w14:paraId="0BB959D5">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right w:val="single" w:color="auto" w:sz="4" w:space="0"/>
            </w:tcBorders>
            <w:vAlign w:val="center"/>
          </w:tcPr>
          <w:p w14:paraId="03BE0D58">
            <w:pPr>
              <w:pStyle w:val="150"/>
              <w:jc w:val="left"/>
              <w:rPr>
                <w:sz w:val="20"/>
                <w:szCs w:val="20"/>
              </w:rPr>
            </w:pPr>
            <w:r>
              <w:rPr>
                <w:sz w:val="20"/>
                <w:szCs w:val="20"/>
              </w:rPr>
              <w:t>Antirabična zaštita</w:t>
            </w:r>
          </w:p>
        </w:tc>
        <w:tc>
          <w:tcPr>
            <w:tcW w:w="1866" w:type="pct"/>
            <w:tcBorders>
              <w:top w:val="single" w:color="auto" w:sz="4" w:space="0"/>
              <w:left w:val="nil"/>
              <w:bottom w:val="single" w:color="auto" w:sz="4" w:space="0"/>
              <w:right w:val="single" w:color="auto" w:sz="4" w:space="0"/>
            </w:tcBorders>
            <w:vAlign w:val="center"/>
          </w:tcPr>
          <w:p w14:paraId="2D129C72">
            <w:pPr>
              <w:pStyle w:val="150"/>
              <w:jc w:val="left"/>
              <w:rPr>
                <w:sz w:val="20"/>
                <w:szCs w:val="20"/>
              </w:rPr>
            </w:pPr>
            <w:r>
              <w:rPr>
                <w:sz w:val="20"/>
                <w:szCs w:val="20"/>
              </w:rPr>
              <w:t>Pregledi</w:t>
            </w:r>
          </w:p>
        </w:tc>
        <w:tc>
          <w:tcPr>
            <w:tcW w:w="904" w:type="pct"/>
            <w:tcBorders>
              <w:top w:val="single" w:color="auto" w:sz="4" w:space="0"/>
              <w:left w:val="nil"/>
              <w:bottom w:val="single" w:color="auto" w:sz="4" w:space="0"/>
              <w:right w:val="single" w:color="auto" w:sz="4" w:space="0"/>
            </w:tcBorders>
            <w:vAlign w:val="center"/>
          </w:tcPr>
          <w:p w14:paraId="3E089316">
            <w:pPr>
              <w:pStyle w:val="150"/>
              <w:rPr>
                <w:sz w:val="20"/>
                <w:szCs w:val="20"/>
              </w:rPr>
            </w:pPr>
            <w:r>
              <w:rPr>
                <w:sz w:val="20"/>
                <w:szCs w:val="20"/>
              </w:rPr>
              <w:t>294</w:t>
            </w:r>
          </w:p>
        </w:tc>
        <w:tc>
          <w:tcPr>
            <w:tcW w:w="903" w:type="pct"/>
            <w:tcBorders>
              <w:top w:val="single" w:color="auto" w:sz="4" w:space="0"/>
              <w:left w:val="nil"/>
              <w:bottom w:val="single" w:color="auto" w:sz="4" w:space="0"/>
              <w:right w:val="single" w:color="auto" w:sz="4" w:space="0"/>
            </w:tcBorders>
            <w:vAlign w:val="center"/>
          </w:tcPr>
          <w:p w14:paraId="69FF8C61">
            <w:pPr>
              <w:pStyle w:val="150"/>
              <w:rPr>
                <w:sz w:val="20"/>
                <w:szCs w:val="20"/>
              </w:rPr>
            </w:pPr>
            <w:r>
              <w:rPr>
                <w:sz w:val="20"/>
                <w:szCs w:val="20"/>
              </w:rPr>
              <w:t>400</w:t>
            </w:r>
          </w:p>
        </w:tc>
      </w:tr>
      <w:tr w14:paraId="2C61581F">
        <w:tblPrEx>
          <w:tblCellMar>
            <w:top w:w="0" w:type="dxa"/>
            <w:left w:w="108" w:type="dxa"/>
            <w:bottom w:w="0" w:type="dxa"/>
            <w:right w:w="108" w:type="dxa"/>
          </w:tblCellMar>
        </w:tblPrEx>
        <w:trPr>
          <w:trHeight w:val="567" w:hRule="atLeast"/>
        </w:trPr>
        <w:tc>
          <w:tcPr>
            <w:tcW w:w="1327" w:type="pct"/>
            <w:vMerge w:val="continue"/>
            <w:tcBorders>
              <w:left w:val="single" w:color="auto" w:sz="4" w:space="0"/>
              <w:bottom w:val="single" w:color="auto" w:sz="4" w:space="0"/>
              <w:right w:val="single" w:color="auto" w:sz="4" w:space="0"/>
            </w:tcBorders>
            <w:vAlign w:val="center"/>
          </w:tcPr>
          <w:p w14:paraId="60B7E5C4">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09F6828C">
            <w:pPr>
              <w:pStyle w:val="150"/>
              <w:jc w:val="left"/>
              <w:rPr>
                <w:sz w:val="20"/>
                <w:szCs w:val="20"/>
              </w:rPr>
            </w:pPr>
            <w:r>
              <w:rPr>
                <w:sz w:val="20"/>
                <w:szCs w:val="20"/>
              </w:rPr>
              <w:t>Cijepljenja</w:t>
            </w:r>
          </w:p>
        </w:tc>
        <w:tc>
          <w:tcPr>
            <w:tcW w:w="904" w:type="pct"/>
            <w:tcBorders>
              <w:top w:val="single" w:color="auto" w:sz="4" w:space="0"/>
              <w:left w:val="nil"/>
              <w:bottom w:val="single" w:color="auto" w:sz="4" w:space="0"/>
              <w:right w:val="single" w:color="auto" w:sz="4" w:space="0"/>
            </w:tcBorders>
            <w:vAlign w:val="center"/>
          </w:tcPr>
          <w:p w14:paraId="50FAEF61">
            <w:pPr>
              <w:pStyle w:val="150"/>
              <w:rPr>
                <w:sz w:val="20"/>
                <w:szCs w:val="20"/>
              </w:rPr>
            </w:pPr>
            <w:r>
              <w:rPr>
                <w:sz w:val="20"/>
                <w:szCs w:val="20"/>
              </w:rPr>
              <w:t>83</w:t>
            </w:r>
          </w:p>
        </w:tc>
        <w:tc>
          <w:tcPr>
            <w:tcW w:w="903" w:type="pct"/>
            <w:tcBorders>
              <w:top w:val="single" w:color="auto" w:sz="4" w:space="0"/>
              <w:left w:val="nil"/>
              <w:bottom w:val="single" w:color="auto" w:sz="4" w:space="0"/>
              <w:right w:val="single" w:color="auto" w:sz="4" w:space="0"/>
            </w:tcBorders>
            <w:vAlign w:val="center"/>
          </w:tcPr>
          <w:p w14:paraId="45BE30C2">
            <w:pPr>
              <w:pStyle w:val="150"/>
              <w:rPr>
                <w:sz w:val="20"/>
                <w:szCs w:val="20"/>
              </w:rPr>
            </w:pPr>
            <w:r>
              <w:rPr>
                <w:sz w:val="20"/>
                <w:szCs w:val="20"/>
              </w:rPr>
              <w:t>130</w:t>
            </w:r>
          </w:p>
        </w:tc>
      </w:tr>
      <w:tr w14:paraId="6CF9454E">
        <w:tblPrEx>
          <w:tblCellMar>
            <w:top w:w="0" w:type="dxa"/>
            <w:left w:w="108" w:type="dxa"/>
            <w:bottom w:w="0" w:type="dxa"/>
            <w:right w:w="108" w:type="dxa"/>
          </w:tblCellMar>
        </w:tblPrEx>
        <w:trPr>
          <w:trHeight w:val="567" w:hRule="atLeast"/>
        </w:trPr>
        <w:tc>
          <w:tcPr>
            <w:tcW w:w="1327" w:type="pct"/>
            <w:vMerge w:val="restart"/>
            <w:tcBorders>
              <w:top w:val="nil"/>
              <w:left w:val="single" w:color="auto" w:sz="4" w:space="0"/>
              <w:bottom w:val="single" w:color="auto" w:sz="4" w:space="0"/>
              <w:right w:val="single" w:color="auto" w:sz="4" w:space="0"/>
            </w:tcBorders>
            <w:vAlign w:val="center"/>
          </w:tcPr>
          <w:p w14:paraId="2D7E6857">
            <w:pPr>
              <w:pStyle w:val="150"/>
              <w:jc w:val="left"/>
              <w:rPr>
                <w:spacing w:val="-10"/>
                <w:sz w:val="20"/>
                <w:szCs w:val="20"/>
              </w:rPr>
            </w:pPr>
            <w:r>
              <w:rPr>
                <w:spacing w:val="-10"/>
                <w:sz w:val="20"/>
                <w:szCs w:val="20"/>
              </w:rPr>
              <w:t>Program stjecanja potrebnog znanja o zdravstvenoj ispravnosti hrane</w:t>
            </w:r>
          </w:p>
        </w:tc>
        <w:tc>
          <w:tcPr>
            <w:tcW w:w="1866" w:type="pct"/>
            <w:tcBorders>
              <w:top w:val="nil"/>
              <w:left w:val="nil"/>
              <w:bottom w:val="single" w:color="auto" w:sz="4" w:space="0"/>
              <w:right w:val="single" w:color="auto" w:sz="4" w:space="0"/>
            </w:tcBorders>
            <w:vAlign w:val="center"/>
          </w:tcPr>
          <w:p w14:paraId="6575AB98">
            <w:pPr>
              <w:pStyle w:val="150"/>
              <w:jc w:val="left"/>
              <w:rPr>
                <w:sz w:val="20"/>
                <w:szCs w:val="20"/>
              </w:rPr>
            </w:pPr>
            <w:r>
              <w:rPr>
                <w:sz w:val="20"/>
                <w:szCs w:val="20"/>
              </w:rPr>
              <w:t>Tečajevi</w:t>
            </w:r>
          </w:p>
        </w:tc>
        <w:tc>
          <w:tcPr>
            <w:tcW w:w="904" w:type="pct"/>
            <w:tcBorders>
              <w:top w:val="nil"/>
              <w:left w:val="nil"/>
              <w:bottom w:val="single" w:color="auto" w:sz="4" w:space="0"/>
              <w:right w:val="single" w:color="auto" w:sz="4" w:space="0"/>
            </w:tcBorders>
            <w:vAlign w:val="center"/>
          </w:tcPr>
          <w:p w14:paraId="6E44C5D3">
            <w:pPr>
              <w:pStyle w:val="150"/>
              <w:rPr>
                <w:sz w:val="20"/>
                <w:szCs w:val="20"/>
              </w:rPr>
            </w:pPr>
            <w:r>
              <w:rPr>
                <w:sz w:val="20"/>
                <w:szCs w:val="20"/>
              </w:rPr>
              <w:t>266</w:t>
            </w:r>
          </w:p>
        </w:tc>
        <w:tc>
          <w:tcPr>
            <w:tcW w:w="903" w:type="pct"/>
            <w:tcBorders>
              <w:top w:val="nil"/>
              <w:left w:val="nil"/>
              <w:bottom w:val="single" w:color="auto" w:sz="4" w:space="0"/>
              <w:right w:val="single" w:color="auto" w:sz="4" w:space="0"/>
            </w:tcBorders>
            <w:noWrap/>
            <w:vAlign w:val="center"/>
          </w:tcPr>
          <w:p w14:paraId="5F662729">
            <w:pPr>
              <w:pStyle w:val="150"/>
              <w:rPr>
                <w:sz w:val="20"/>
                <w:szCs w:val="20"/>
              </w:rPr>
            </w:pPr>
            <w:r>
              <w:rPr>
                <w:sz w:val="20"/>
                <w:szCs w:val="20"/>
              </w:rPr>
              <w:t>260</w:t>
            </w:r>
          </w:p>
        </w:tc>
      </w:tr>
      <w:tr w14:paraId="6E0E7606">
        <w:tblPrEx>
          <w:tblCellMar>
            <w:top w:w="0" w:type="dxa"/>
            <w:left w:w="108" w:type="dxa"/>
            <w:bottom w:w="0" w:type="dxa"/>
            <w:right w:w="108" w:type="dxa"/>
          </w:tblCellMar>
        </w:tblPrEx>
        <w:trPr>
          <w:trHeight w:val="567" w:hRule="atLeast"/>
        </w:trPr>
        <w:tc>
          <w:tcPr>
            <w:tcW w:w="1327" w:type="pct"/>
            <w:vMerge w:val="continue"/>
            <w:tcBorders>
              <w:top w:val="nil"/>
              <w:left w:val="single" w:color="auto" w:sz="4" w:space="0"/>
              <w:bottom w:val="single" w:color="auto" w:sz="4" w:space="0"/>
              <w:right w:val="single" w:color="auto" w:sz="4" w:space="0"/>
            </w:tcBorders>
            <w:vAlign w:val="center"/>
          </w:tcPr>
          <w:p w14:paraId="31E4B361">
            <w:pPr>
              <w:pStyle w:val="150"/>
              <w:jc w:val="left"/>
              <w:rPr>
                <w:spacing w:val="-10"/>
                <w:sz w:val="20"/>
                <w:szCs w:val="20"/>
              </w:rPr>
            </w:pPr>
          </w:p>
        </w:tc>
        <w:tc>
          <w:tcPr>
            <w:tcW w:w="1866" w:type="pct"/>
            <w:tcBorders>
              <w:top w:val="nil"/>
              <w:left w:val="nil"/>
              <w:bottom w:val="single" w:color="auto" w:sz="4" w:space="0"/>
              <w:right w:val="single" w:color="auto" w:sz="4" w:space="0"/>
            </w:tcBorders>
            <w:vAlign w:val="center"/>
          </w:tcPr>
          <w:p w14:paraId="2DC25566">
            <w:pPr>
              <w:pStyle w:val="150"/>
              <w:jc w:val="left"/>
              <w:rPr>
                <w:sz w:val="20"/>
                <w:szCs w:val="20"/>
              </w:rPr>
            </w:pPr>
            <w:r>
              <w:rPr>
                <w:sz w:val="20"/>
                <w:szCs w:val="20"/>
              </w:rPr>
              <w:t>Polaznici</w:t>
            </w:r>
          </w:p>
        </w:tc>
        <w:tc>
          <w:tcPr>
            <w:tcW w:w="904" w:type="pct"/>
            <w:tcBorders>
              <w:top w:val="nil"/>
              <w:left w:val="nil"/>
              <w:bottom w:val="single" w:color="auto" w:sz="4" w:space="0"/>
              <w:right w:val="single" w:color="auto" w:sz="4" w:space="0"/>
            </w:tcBorders>
            <w:vAlign w:val="center"/>
          </w:tcPr>
          <w:p w14:paraId="1352F6A2">
            <w:pPr>
              <w:pStyle w:val="150"/>
              <w:rPr>
                <w:sz w:val="20"/>
                <w:szCs w:val="20"/>
              </w:rPr>
            </w:pPr>
            <w:r>
              <w:rPr>
                <w:sz w:val="20"/>
                <w:szCs w:val="20"/>
              </w:rPr>
              <w:t>5.050</w:t>
            </w:r>
          </w:p>
        </w:tc>
        <w:tc>
          <w:tcPr>
            <w:tcW w:w="903" w:type="pct"/>
            <w:tcBorders>
              <w:top w:val="nil"/>
              <w:left w:val="nil"/>
              <w:bottom w:val="single" w:color="auto" w:sz="4" w:space="0"/>
              <w:right w:val="single" w:color="auto" w:sz="4" w:space="0"/>
            </w:tcBorders>
            <w:noWrap/>
            <w:vAlign w:val="center"/>
          </w:tcPr>
          <w:p w14:paraId="70CC70C0">
            <w:pPr>
              <w:pStyle w:val="150"/>
              <w:rPr>
                <w:sz w:val="20"/>
                <w:szCs w:val="20"/>
              </w:rPr>
            </w:pPr>
            <w:r>
              <w:rPr>
                <w:sz w:val="20"/>
                <w:szCs w:val="20"/>
              </w:rPr>
              <w:t>6.000</w:t>
            </w:r>
          </w:p>
        </w:tc>
      </w:tr>
      <w:tr w14:paraId="4AE8EB14">
        <w:tblPrEx>
          <w:tblCellMar>
            <w:top w:w="0" w:type="dxa"/>
            <w:left w:w="108" w:type="dxa"/>
            <w:bottom w:w="0" w:type="dxa"/>
            <w:right w:w="108" w:type="dxa"/>
          </w:tblCellMar>
        </w:tblPrEx>
        <w:trPr>
          <w:trHeight w:val="567" w:hRule="atLeast"/>
        </w:trPr>
        <w:tc>
          <w:tcPr>
            <w:tcW w:w="1327" w:type="pct"/>
            <w:vMerge w:val="continue"/>
            <w:tcBorders>
              <w:top w:val="nil"/>
              <w:left w:val="single" w:color="auto" w:sz="4" w:space="0"/>
              <w:bottom w:val="single" w:color="auto" w:sz="4" w:space="0"/>
              <w:right w:val="single" w:color="auto" w:sz="4" w:space="0"/>
            </w:tcBorders>
            <w:vAlign w:val="center"/>
          </w:tcPr>
          <w:p w14:paraId="3BD2C32F">
            <w:pPr>
              <w:pStyle w:val="150"/>
              <w:jc w:val="left"/>
              <w:rPr>
                <w:b/>
                <w:spacing w:val="-10"/>
                <w:sz w:val="20"/>
                <w:szCs w:val="20"/>
              </w:rPr>
            </w:pPr>
          </w:p>
        </w:tc>
        <w:tc>
          <w:tcPr>
            <w:tcW w:w="1866" w:type="pct"/>
            <w:tcBorders>
              <w:top w:val="nil"/>
              <w:left w:val="nil"/>
              <w:bottom w:val="single" w:color="auto" w:sz="4" w:space="0"/>
              <w:right w:val="single" w:color="auto" w:sz="4" w:space="0"/>
            </w:tcBorders>
            <w:vAlign w:val="center"/>
          </w:tcPr>
          <w:p w14:paraId="1F96B76B">
            <w:pPr>
              <w:pStyle w:val="150"/>
              <w:jc w:val="left"/>
              <w:rPr>
                <w:sz w:val="20"/>
                <w:szCs w:val="20"/>
              </w:rPr>
            </w:pPr>
            <w:r>
              <w:rPr>
                <w:sz w:val="20"/>
                <w:szCs w:val="20"/>
              </w:rPr>
              <w:t>Ispiti</w:t>
            </w:r>
          </w:p>
        </w:tc>
        <w:tc>
          <w:tcPr>
            <w:tcW w:w="904" w:type="pct"/>
            <w:tcBorders>
              <w:top w:val="nil"/>
              <w:left w:val="nil"/>
              <w:bottom w:val="single" w:color="auto" w:sz="4" w:space="0"/>
              <w:right w:val="single" w:color="auto" w:sz="4" w:space="0"/>
            </w:tcBorders>
            <w:vAlign w:val="center"/>
          </w:tcPr>
          <w:p w14:paraId="74075970">
            <w:pPr>
              <w:pStyle w:val="150"/>
              <w:rPr>
                <w:sz w:val="20"/>
                <w:szCs w:val="20"/>
              </w:rPr>
            </w:pPr>
            <w:r>
              <w:rPr>
                <w:sz w:val="20"/>
                <w:szCs w:val="20"/>
              </w:rPr>
              <w:t>4.158</w:t>
            </w:r>
          </w:p>
        </w:tc>
        <w:tc>
          <w:tcPr>
            <w:tcW w:w="903" w:type="pct"/>
            <w:tcBorders>
              <w:top w:val="nil"/>
              <w:left w:val="nil"/>
              <w:bottom w:val="single" w:color="auto" w:sz="4" w:space="0"/>
              <w:right w:val="single" w:color="auto" w:sz="4" w:space="0"/>
            </w:tcBorders>
            <w:noWrap/>
            <w:vAlign w:val="center"/>
          </w:tcPr>
          <w:p w14:paraId="58FF0829">
            <w:pPr>
              <w:pStyle w:val="150"/>
              <w:rPr>
                <w:sz w:val="20"/>
                <w:szCs w:val="20"/>
              </w:rPr>
            </w:pPr>
            <w:r>
              <w:rPr>
                <w:sz w:val="20"/>
                <w:szCs w:val="20"/>
              </w:rPr>
              <w:t>5.500</w:t>
            </w:r>
          </w:p>
        </w:tc>
      </w:tr>
      <w:tr w14:paraId="375EC9B3">
        <w:tblPrEx>
          <w:tblCellMar>
            <w:top w:w="0" w:type="dxa"/>
            <w:left w:w="108" w:type="dxa"/>
            <w:bottom w:w="0" w:type="dxa"/>
            <w:right w:w="108" w:type="dxa"/>
          </w:tblCellMar>
        </w:tblPrEx>
        <w:trPr>
          <w:trHeight w:val="567" w:hRule="atLeast"/>
        </w:trPr>
        <w:tc>
          <w:tcPr>
            <w:tcW w:w="1327" w:type="pct"/>
            <w:vMerge w:val="restart"/>
            <w:tcBorders>
              <w:top w:val="nil"/>
              <w:left w:val="single" w:color="auto" w:sz="4" w:space="0"/>
              <w:right w:val="single" w:color="auto" w:sz="4" w:space="0"/>
            </w:tcBorders>
            <w:vAlign w:val="center"/>
          </w:tcPr>
          <w:p w14:paraId="648F4477">
            <w:pPr>
              <w:pStyle w:val="150"/>
              <w:jc w:val="left"/>
              <w:rPr>
                <w:spacing w:val="-6"/>
                <w:sz w:val="20"/>
                <w:szCs w:val="20"/>
              </w:rPr>
            </w:pPr>
            <w:r>
              <w:rPr>
                <w:spacing w:val="-6"/>
                <w:sz w:val="20"/>
                <w:szCs w:val="20"/>
              </w:rPr>
              <w:t>Programa stjecanja potrebnog znanja o sprečavanju zaraznih bolesti</w:t>
            </w:r>
          </w:p>
        </w:tc>
        <w:tc>
          <w:tcPr>
            <w:tcW w:w="1866" w:type="pct"/>
            <w:tcBorders>
              <w:top w:val="nil"/>
              <w:left w:val="nil"/>
              <w:bottom w:val="single" w:color="auto" w:sz="4" w:space="0"/>
              <w:right w:val="single" w:color="auto" w:sz="4" w:space="0"/>
            </w:tcBorders>
            <w:vAlign w:val="center"/>
          </w:tcPr>
          <w:p w14:paraId="67428024">
            <w:pPr>
              <w:pStyle w:val="150"/>
              <w:jc w:val="left"/>
              <w:rPr>
                <w:sz w:val="20"/>
                <w:szCs w:val="20"/>
              </w:rPr>
            </w:pPr>
            <w:r>
              <w:rPr>
                <w:sz w:val="20"/>
                <w:szCs w:val="20"/>
              </w:rPr>
              <w:t>Tečajevi</w:t>
            </w:r>
          </w:p>
        </w:tc>
        <w:tc>
          <w:tcPr>
            <w:tcW w:w="904" w:type="pct"/>
            <w:tcBorders>
              <w:top w:val="nil"/>
              <w:left w:val="nil"/>
              <w:bottom w:val="single" w:color="auto" w:sz="4" w:space="0"/>
              <w:right w:val="single" w:color="auto" w:sz="4" w:space="0"/>
            </w:tcBorders>
            <w:vAlign w:val="center"/>
          </w:tcPr>
          <w:p w14:paraId="7D3AC907">
            <w:pPr>
              <w:pStyle w:val="150"/>
              <w:rPr>
                <w:sz w:val="20"/>
                <w:szCs w:val="20"/>
              </w:rPr>
            </w:pPr>
            <w:r>
              <w:rPr>
                <w:sz w:val="20"/>
                <w:szCs w:val="20"/>
              </w:rPr>
              <w:t>11</w:t>
            </w:r>
          </w:p>
        </w:tc>
        <w:tc>
          <w:tcPr>
            <w:tcW w:w="903" w:type="pct"/>
            <w:tcBorders>
              <w:top w:val="nil"/>
              <w:left w:val="nil"/>
              <w:bottom w:val="single" w:color="auto" w:sz="4" w:space="0"/>
              <w:right w:val="single" w:color="auto" w:sz="4" w:space="0"/>
            </w:tcBorders>
            <w:noWrap/>
            <w:vAlign w:val="center"/>
          </w:tcPr>
          <w:p w14:paraId="533F1D95">
            <w:pPr>
              <w:pStyle w:val="150"/>
              <w:rPr>
                <w:sz w:val="20"/>
                <w:szCs w:val="20"/>
              </w:rPr>
            </w:pPr>
            <w:r>
              <w:rPr>
                <w:sz w:val="20"/>
                <w:szCs w:val="20"/>
              </w:rPr>
              <w:t>15</w:t>
            </w:r>
          </w:p>
        </w:tc>
      </w:tr>
      <w:tr w14:paraId="36D6CF36">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4A6CB96F">
            <w:pPr>
              <w:pStyle w:val="150"/>
              <w:jc w:val="left"/>
              <w:rPr>
                <w:b/>
                <w:sz w:val="20"/>
                <w:szCs w:val="20"/>
              </w:rPr>
            </w:pPr>
          </w:p>
        </w:tc>
        <w:tc>
          <w:tcPr>
            <w:tcW w:w="1866" w:type="pct"/>
            <w:tcBorders>
              <w:top w:val="nil"/>
              <w:left w:val="nil"/>
              <w:bottom w:val="single" w:color="auto" w:sz="4" w:space="0"/>
              <w:right w:val="single" w:color="auto" w:sz="4" w:space="0"/>
            </w:tcBorders>
            <w:vAlign w:val="center"/>
          </w:tcPr>
          <w:p w14:paraId="4812B642">
            <w:pPr>
              <w:pStyle w:val="150"/>
              <w:jc w:val="left"/>
              <w:rPr>
                <w:sz w:val="20"/>
                <w:szCs w:val="20"/>
              </w:rPr>
            </w:pPr>
            <w:r>
              <w:rPr>
                <w:sz w:val="20"/>
                <w:szCs w:val="20"/>
              </w:rPr>
              <w:t>Polaznici</w:t>
            </w:r>
          </w:p>
        </w:tc>
        <w:tc>
          <w:tcPr>
            <w:tcW w:w="904" w:type="pct"/>
            <w:tcBorders>
              <w:top w:val="nil"/>
              <w:left w:val="nil"/>
              <w:bottom w:val="single" w:color="auto" w:sz="4" w:space="0"/>
              <w:right w:val="single" w:color="auto" w:sz="4" w:space="0"/>
            </w:tcBorders>
            <w:vAlign w:val="center"/>
          </w:tcPr>
          <w:p w14:paraId="10E6E124">
            <w:pPr>
              <w:pStyle w:val="150"/>
              <w:rPr>
                <w:sz w:val="20"/>
                <w:szCs w:val="20"/>
              </w:rPr>
            </w:pPr>
            <w:r>
              <w:rPr>
                <w:rFonts w:cstheme="minorHAnsi"/>
                <w:sz w:val="20"/>
                <w:szCs w:val="20"/>
              </w:rPr>
              <w:t>62</w:t>
            </w:r>
          </w:p>
        </w:tc>
        <w:tc>
          <w:tcPr>
            <w:tcW w:w="903" w:type="pct"/>
            <w:tcBorders>
              <w:top w:val="nil"/>
              <w:left w:val="nil"/>
              <w:bottom w:val="single" w:color="auto" w:sz="4" w:space="0"/>
              <w:right w:val="single" w:color="auto" w:sz="4" w:space="0"/>
            </w:tcBorders>
            <w:noWrap/>
            <w:vAlign w:val="center"/>
          </w:tcPr>
          <w:p w14:paraId="0457C96B">
            <w:pPr>
              <w:pStyle w:val="150"/>
              <w:rPr>
                <w:sz w:val="20"/>
                <w:szCs w:val="20"/>
              </w:rPr>
            </w:pPr>
            <w:r>
              <w:rPr>
                <w:sz w:val="20"/>
                <w:szCs w:val="20"/>
              </w:rPr>
              <w:t>150</w:t>
            </w:r>
          </w:p>
        </w:tc>
      </w:tr>
      <w:tr w14:paraId="2D8EAA18">
        <w:tblPrEx>
          <w:tblCellMar>
            <w:top w:w="0" w:type="dxa"/>
            <w:left w:w="108" w:type="dxa"/>
            <w:bottom w:w="0" w:type="dxa"/>
            <w:right w:w="108" w:type="dxa"/>
          </w:tblCellMar>
        </w:tblPrEx>
        <w:trPr>
          <w:trHeight w:val="567" w:hRule="atLeast"/>
        </w:trPr>
        <w:tc>
          <w:tcPr>
            <w:tcW w:w="1327" w:type="pct"/>
            <w:vMerge w:val="continue"/>
            <w:tcBorders>
              <w:left w:val="single" w:color="auto" w:sz="4" w:space="0"/>
              <w:bottom w:val="single" w:color="auto" w:sz="4" w:space="0"/>
              <w:right w:val="single" w:color="auto" w:sz="4" w:space="0"/>
            </w:tcBorders>
            <w:vAlign w:val="center"/>
          </w:tcPr>
          <w:p w14:paraId="69D80D14">
            <w:pPr>
              <w:pStyle w:val="150"/>
              <w:jc w:val="left"/>
              <w:rPr>
                <w:b/>
                <w:sz w:val="20"/>
                <w:szCs w:val="20"/>
              </w:rPr>
            </w:pPr>
          </w:p>
        </w:tc>
        <w:tc>
          <w:tcPr>
            <w:tcW w:w="1866" w:type="pct"/>
            <w:tcBorders>
              <w:top w:val="nil"/>
              <w:left w:val="nil"/>
              <w:bottom w:val="single" w:color="auto" w:sz="4" w:space="0"/>
              <w:right w:val="single" w:color="auto" w:sz="4" w:space="0"/>
            </w:tcBorders>
            <w:vAlign w:val="center"/>
          </w:tcPr>
          <w:p w14:paraId="207A9687">
            <w:pPr>
              <w:pStyle w:val="150"/>
              <w:jc w:val="left"/>
              <w:rPr>
                <w:sz w:val="20"/>
                <w:szCs w:val="20"/>
              </w:rPr>
            </w:pPr>
            <w:r>
              <w:rPr>
                <w:sz w:val="20"/>
                <w:szCs w:val="20"/>
              </w:rPr>
              <w:t>Ispiti</w:t>
            </w:r>
          </w:p>
        </w:tc>
        <w:tc>
          <w:tcPr>
            <w:tcW w:w="904" w:type="pct"/>
            <w:tcBorders>
              <w:top w:val="nil"/>
              <w:left w:val="nil"/>
              <w:bottom w:val="single" w:color="auto" w:sz="4" w:space="0"/>
              <w:right w:val="single" w:color="auto" w:sz="4" w:space="0"/>
            </w:tcBorders>
            <w:vAlign w:val="center"/>
          </w:tcPr>
          <w:p w14:paraId="19ED7FDA">
            <w:pPr>
              <w:pStyle w:val="150"/>
              <w:rPr>
                <w:sz w:val="20"/>
                <w:szCs w:val="20"/>
              </w:rPr>
            </w:pPr>
            <w:r>
              <w:rPr>
                <w:sz w:val="20"/>
                <w:szCs w:val="20"/>
              </w:rPr>
              <w:t>44</w:t>
            </w:r>
          </w:p>
        </w:tc>
        <w:tc>
          <w:tcPr>
            <w:tcW w:w="903" w:type="pct"/>
            <w:tcBorders>
              <w:top w:val="nil"/>
              <w:left w:val="nil"/>
              <w:bottom w:val="single" w:color="auto" w:sz="4" w:space="0"/>
              <w:right w:val="single" w:color="auto" w:sz="4" w:space="0"/>
            </w:tcBorders>
            <w:noWrap/>
            <w:vAlign w:val="center"/>
          </w:tcPr>
          <w:p w14:paraId="474E9A9F">
            <w:pPr>
              <w:pStyle w:val="150"/>
              <w:rPr>
                <w:sz w:val="20"/>
                <w:szCs w:val="20"/>
              </w:rPr>
            </w:pPr>
            <w:r>
              <w:rPr>
                <w:sz w:val="20"/>
                <w:szCs w:val="20"/>
              </w:rPr>
              <w:t>150</w:t>
            </w:r>
          </w:p>
        </w:tc>
      </w:tr>
      <w:tr w14:paraId="74336579">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right w:val="single" w:color="auto" w:sz="4" w:space="0"/>
            </w:tcBorders>
            <w:vAlign w:val="center"/>
          </w:tcPr>
          <w:p w14:paraId="55201683">
            <w:pPr>
              <w:pStyle w:val="150"/>
              <w:jc w:val="left"/>
              <w:rPr>
                <w:sz w:val="20"/>
                <w:szCs w:val="20"/>
              </w:rPr>
            </w:pPr>
            <w:r>
              <w:rPr>
                <w:sz w:val="20"/>
                <w:szCs w:val="20"/>
              </w:rPr>
              <w:t>Implementacija, revizija i monitoring HACCP-sustava</w:t>
            </w:r>
          </w:p>
        </w:tc>
        <w:tc>
          <w:tcPr>
            <w:tcW w:w="1866" w:type="pct"/>
            <w:tcBorders>
              <w:top w:val="single" w:color="auto" w:sz="4" w:space="0"/>
              <w:left w:val="nil"/>
              <w:bottom w:val="single" w:color="auto" w:sz="4" w:space="0"/>
              <w:right w:val="single" w:color="auto" w:sz="4" w:space="0"/>
            </w:tcBorders>
            <w:vAlign w:val="center"/>
          </w:tcPr>
          <w:p w14:paraId="4B0C777B">
            <w:pPr>
              <w:pStyle w:val="150"/>
              <w:jc w:val="left"/>
              <w:rPr>
                <w:sz w:val="20"/>
                <w:szCs w:val="20"/>
              </w:rPr>
            </w:pPr>
            <w:r>
              <w:rPr>
                <w:sz w:val="20"/>
                <w:szCs w:val="20"/>
              </w:rPr>
              <w:t>Analiza stanja, izrada prijedloga mjera</w:t>
            </w:r>
          </w:p>
        </w:tc>
        <w:tc>
          <w:tcPr>
            <w:tcW w:w="904" w:type="pct"/>
            <w:tcBorders>
              <w:top w:val="single" w:color="auto" w:sz="4" w:space="0"/>
              <w:left w:val="nil"/>
              <w:bottom w:val="single" w:color="auto" w:sz="4" w:space="0"/>
              <w:right w:val="single" w:color="auto" w:sz="4" w:space="0"/>
            </w:tcBorders>
            <w:vAlign w:val="center"/>
          </w:tcPr>
          <w:p w14:paraId="385085FF">
            <w:pPr>
              <w:pStyle w:val="150"/>
              <w:rPr>
                <w:sz w:val="20"/>
                <w:szCs w:val="20"/>
              </w:rPr>
            </w:pPr>
            <w:r>
              <w:rPr>
                <w:sz w:val="20"/>
                <w:szCs w:val="20"/>
              </w:rPr>
              <w:t>9</w:t>
            </w:r>
          </w:p>
        </w:tc>
        <w:tc>
          <w:tcPr>
            <w:tcW w:w="903" w:type="pct"/>
            <w:tcBorders>
              <w:top w:val="single" w:color="auto" w:sz="4" w:space="0"/>
              <w:left w:val="nil"/>
              <w:bottom w:val="single" w:color="auto" w:sz="4" w:space="0"/>
              <w:right w:val="single" w:color="auto" w:sz="4" w:space="0"/>
            </w:tcBorders>
            <w:noWrap/>
            <w:vAlign w:val="center"/>
          </w:tcPr>
          <w:p w14:paraId="04315916">
            <w:pPr>
              <w:pStyle w:val="150"/>
              <w:rPr>
                <w:sz w:val="20"/>
                <w:szCs w:val="20"/>
              </w:rPr>
            </w:pPr>
            <w:r>
              <w:rPr>
                <w:sz w:val="20"/>
                <w:szCs w:val="20"/>
              </w:rPr>
              <w:t>12</w:t>
            </w:r>
          </w:p>
        </w:tc>
      </w:tr>
      <w:tr w14:paraId="28B955F5">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72C8D3E8">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1D765C5A">
            <w:pPr>
              <w:pStyle w:val="150"/>
              <w:jc w:val="left"/>
              <w:rPr>
                <w:sz w:val="20"/>
                <w:szCs w:val="20"/>
              </w:rPr>
            </w:pPr>
            <w:r>
              <w:rPr>
                <w:sz w:val="20"/>
                <w:szCs w:val="20"/>
              </w:rPr>
              <w:t>Edukacija zaposlenika</w:t>
            </w:r>
          </w:p>
        </w:tc>
        <w:tc>
          <w:tcPr>
            <w:tcW w:w="904" w:type="pct"/>
            <w:tcBorders>
              <w:top w:val="single" w:color="auto" w:sz="4" w:space="0"/>
              <w:left w:val="nil"/>
              <w:bottom w:val="single" w:color="auto" w:sz="4" w:space="0"/>
              <w:right w:val="single" w:color="auto" w:sz="4" w:space="0"/>
            </w:tcBorders>
            <w:vAlign w:val="center"/>
          </w:tcPr>
          <w:p w14:paraId="60C19FEA">
            <w:pPr>
              <w:pStyle w:val="150"/>
              <w:rPr>
                <w:sz w:val="20"/>
                <w:szCs w:val="20"/>
              </w:rPr>
            </w:pPr>
            <w:r>
              <w:rPr>
                <w:rFonts w:cstheme="minorHAnsi"/>
                <w:sz w:val="20"/>
                <w:szCs w:val="20"/>
              </w:rPr>
              <w:t>19</w:t>
            </w:r>
          </w:p>
        </w:tc>
        <w:tc>
          <w:tcPr>
            <w:tcW w:w="903" w:type="pct"/>
            <w:tcBorders>
              <w:top w:val="single" w:color="auto" w:sz="4" w:space="0"/>
              <w:left w:val="nil"/>
              <w:bottom w:val="single" w:color="auto" w:sz="4" w:space="0"/>
              <w:right w:val="single" w:color="auto" w:sz="4" w:space="0"/>
            </w:tcBorders>
            <w:noWrap/>
            <w:vAlign w:val="center"/>
          </w:tcPr>
          <w:p w14:paraId="7F20CF30">
            <w:pPr>
              <w:pStyle w:val="150"/>
              <w:rPr>
                <w:sz w:val="20"/>
                <w:szCs w:val="20"/>
              </w:rPr>
            </w:pPr>
            <w:r>
              <w:rPr>
                <w:sz w:val="20"/>
                <w:szCs w:val="20"/>
              </w:rPr>
              <w:t>20</w:t>
            </w:r>
          </w:p>
        </w:tc>
      </w:tr>
      <w:tr w14:paraId="5AB42E8A">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692352AC">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0B2772F2">
            <w:pPr>
              <w:pStyle w:val="150"/>
              <w:jc w:val="left"/>
              <w:rPr>
                <w:sz w:val="20"/>
                <w:szCs w:val="20"/>
              </w:rPr>
            </w:pPr>
            <w:r>
              <w:rPr>
                <w:sz w:val="20"/>
                <w:szCs w:val="20"/>
              </w:rPr>
              <w:t>Verifikacija sustava</w:t>
            </w:r>
          </w:p>
        </w:tc>
        <w:tc>
          <w:tcPr>
            <w:tcW w:w="904" w:type="pct"/>
            <w:tcBorders>
              <w:top w:val="single" w:color="auto" w:sz="4" w:space="0"/>
              <w:left w:val="nil"/>
              <w:bottom w:val="single" w:color="auto" w:sz="4" w:space="0"/>
              <w:right w:val="single" w:color="auto" w:sz="4" w:space="0"/>
            </w:tcBorders>
            <w:vAlign w:val="center"/>
          </w:tcPr>
          <w:p w14:paraId="037154F5">
            <w:pPr>
              <w:pStyle w:val="150"/>
              <w:rPr>
                <w:sz w:val="20"/>
                <w:szCs w:val="20"/>
              </w:rPr>
            </w:pPr>
            <w:r>
              <w:rPr>
                <w:rFonts w:cstheme="minorHAnsi"/>
                <w:sz w:val="20"/>
                <w:szCs w:val="20"/>
              </w:rPr>
              <w:t>17</w:t>
            </w:r>
          </w:p>
        </w:tc>
        <w:tc>
          <w:tcPr>
            <w:tcW w:w="903" w:type="pct"/>
            <w:tcBorders>
              <w:top w:val="single" w:color="auto" w:sz="4" w:space="0"/>
              <w:left w:val="nil"/>
              <w:bottom w:val="single" w:color="auto" w:sz="4" w:space="0"/>
              <w:right w:val="single" w:color="auto" w:sz="4" w:space="0"/>
            </w:tcBorders>
            <w:noWrap/>
            <w:vAlign w:val="center"/>
          </w:tcPr>
          <w:p w14:paraId="2DD4E078">
            <w:pPr>
              <w:pStyle w:val="150"/>
              <w:rPr>
                <w:sz w:val="20"/>
                <w:szCs w:val="20"/>
              </w:rPr>
            </w:pPr>
            <w:r>
              <w:rPr>
                <w:sz w:val="20"/>
                <w:szCs w:val="20"/>
              </w:rPr>
              <w:t>20</w:t>
            </w:r>
          </w:p>
        </w:tc>
      </w:tr>
      <w:tr w14:paraId="2920F3D6">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bottom w:val="single" w:color="auto" w:sz="4" w:space="0"/>
              <w:right w:val="single" w:color="auto" w:sz="4" w:space="0"/>
            </w:tcBorders>
            <w:vAlign w:val="center"/>
          </w:tcPr>
          <w:p w14:paraId="4D6A40E5">
            <w:pPr>
              <w:pStyle w:val="150"/>
              <w:jc w:val="left"/>
              <w:rPr>
                <w:spacing w:val="-6"/>
                <w:sz w:val="20"/>
                <w:szCs w:val="20"/>
              </w:rPr>
            </w:pPr>
            <w:r>
              <w:rPr>
                <w:spacing w:val="-6"/>
                <w:sz w:val="20"/>
                <w:szCs w:val="20"/>
              </w:rPr>
              <w:t>Poslovi dezinfekcije, dezinsekcije i deratizacije</w:t>
            </w:r>
          </w:p>
        </w:tc>
        <w:tc>
          <w:tcPr>
            <w:tcW w:w="1866" w:type="pct"/>
            <w:tcBorders>
              <w:top w:val="single" w:color="auto" w:sz="4" w:space="0"/>
              <w:left w:val="nil"/>
              <w:bottom w:val="single" w:color="auto" w:sz="4" w:space="0"/>
              <w:right w:val="single" w:color="auto" w:sz="4" w:space="0"/>
            </w:tcBorders>
            <w:vAlign w:val="center"/>
          </w:tcPr>
          <w:p w14:paraId="00486617">
            <w:pPr>
              <w:pStyle w:val="150"/>
              <w:jc w:val="left"/>
              <w:rPr>
                <w:sz w:val="20"/>
                <w:szCs w:val="20"/>
              </w:rPr>
            </w:pPr>
            <w:r>
              <w:rPr>
                <w:sz w:val="20"/>
                <w:szCs w:val="20"/>
              </w:rPr>
              <w:t>Terenski izvidi (nadzor, istraživanje prijenosnika bolesti)</w:t>
            </w:r>
          </w:p>
        </w:tc>
        <w:tc>
          <w:tcPr>
            <w:tcW w:w="904" w:type="pct"/>
            <w:tcBorders>
              <w:top w:val="single" w:color="auto" w:sz="4" w:space="0"/>
              <w:left w:val="nil"/>
              <w:bottom w:val="single" w:color="auto" w:sz="4" w:space="0"/>
              <w:right w:val="single" w:color="auto" w:sz="4" w:space="0"/>
            </w:tcBorders>
            <w:vAlign w:val="center"/>
          </w:tcPr>
          <w:p w14:paraId="74812C1C">
            <w:pPr>
              <w:pStyle w:val="150"/>
              <w:rPr>
                <w:sz w:val="20"/>
                <w:szCs w:val="20"/>
              </w:rPr>
            </w:pPr>
            <w:r>
              <w:rPr>
                <w:sz w:val="20"/>
                <w:szCs w:val="20"/>
              </w:rPr>
              <w:t>1.619</w:t>
            </w:r>
          </w:p>
        </w:tc>
        <w:tc>
          <w:tcPr>
            <w:tcW w:w="903" w:type="pct"/>
            <w:tcBorders>
              <w:top w:val="single" w:color="auto" w:sz="4" w:space="0"/>
              <w:left w:val="nil"/>
              <w:bottom w:val="single" w:color="auto" w:sz="4" w:space="0"/>
              <w:right w:val="single" w:color="auto" w:sz="4" w:space="0"/>
            </w:tcBorders>
            <w:noWrap/>
            <w:vAlign w:val="center"/>
          </w:tcPr>
          <w:p w14:paraId="1A863160">
            <w:pPr>
              <w:pStyle w:val="150"/>
              <w:rPr>
                <w:sz w:val="20"/>
                <w:szCs w:val="20"/>
              </w:rPr>
            </w:pPr>
            <w:r>
              <w:rPr>
                <w:sz w:val="20"/>
                <w:szCs w:val="20"/>
              </w:rPr>
              <w:t>1.700</w:t>
            </w:r>
          </w:p>
        </w:tc>
      </w:tr>
      <w:tr w14:paraId="1F1870A3">
        <w:tblPrEx>
          <w:tblCellMar>
            <w:top w:w="0" w:type="dxa"/>
            <w:left w:w="108" w:type="dxa"/>
            <w:bottom w:w="0" w:type="dxa"/>
            <w:right w:w="108" w:type="dxa"/>
          </w:tblCellMar>
        </w:tblPrEx>
        <w:trPr>
          <w:trHeight w:val="567" w:hRule="atLeast"/>
        </w:trPr>
        <w:tc>
          <w:tcPr>
            <w:tcW w:w="1327" w:type="pct"/>
            <w:vMerge w:val="continue"/>
            <w:tcBorders>
              <w:top w:val="single" w:color="auto" w:sz="4" w:space="0"/>
              <w:left w:val="single" w:color="auto" w:sz="4" w:space="0"/>
              <w:bottom w:val="single" w:color="auto" w:sz="4" w:space="0"/>
              <w:right w:val="single" w:color="auto" w:sz="4" w:space="0"/>
            </w:tcBorders>
            <w:vAlign w:val="center"/>
          </w:tcPr>
          <w:p w14:paraId="703728EA">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0F29807D">
            <w:pPr>
              <w:pStyle w:val="150"/>
              <w:jc w:val="left"/>
              <w:rPr>
                <w:spacing w:val="-6"/>
                <w:sz w:val="20"/>
                <w:szCs w:val="20"/>
              </w:rPr>
            </w:pPr>
            <w:r>
              <w:rPr>
                <w:spacing w:val="-6"/>
                <w:sz w:val="20"/>
                <w:szCs w:val="20"/>
              </w:rPr>
              <w:t>Usluge provedbe DDD poslova na tržištu</w:t>
            </w:r>
          </w:p>
        </w:tc>
        <w:tc>
          <w:tcPr>
            <w:tcW w:w="904" w:type="pct"/>
            <w:tcBorders>
              <w:top w:val="single" w:color="auto" w:sz="4" w:space="0"/>
              <w:left w:val="nil"/>
              <w:bottom w:val="single" w:color="auto" w:sz="4" w:space="0"/>
              <w:right w:val="single" w:color="auto" w:sz="4" w:space="0"/>
            </w:tcBorders>
            <w:vAlign w:val="center"/>
          </w:tcPr>
          <w:p w14:paraId="4632E90B">
            <w:pPr>
              <w:pStyle w:val="150"/>
              <w:rPr>
                <w:sz w:val="20"/>
                <w:szCs w:val="20"/>
              </w:rPr>
            </w:pPr>
            <w:r>
              <w:rPr>
                <w:rFonts w:cstheme="minorHAnsi"/>
                <w:sz w:val="20"/>
                <w:szCs w:val="20"/>
              </w:rPr>
              <w:t>1.300</w:t>
            </w:r>
          </w:p>
        </w:tc>
        <w:tc>
          <w:tcPr>
            <w:tcW w:w="903" w:type="pct"/>
            <w:tcBorders>
              <w:top w:val="single" w:color="auto" w:sz="4" w:space="0"/>
              <w:left w:val="nil"/>
              <w:bottom w:val="single" w:color="auto" w:sz="4" w:space="0"/>
              <w:right w:val="single" w:color="auto" w:sz="4" w:space="0"/>
            </w:tcBorders>
            <w:noWrap/>
            <w:vAlign w:val="center"/>
          </w:tcPr>
          <w:p w14:paraId="2A23163A">
            <w:pPr>
              <w:pStyle w:val="150"/>
              <w:rPr>
                <w:sz w:val="20"/>
                <w:szCs w:val="20"/>
              </w:rPr>
            </w:pPr>
            <w:r>
              <w:rPr>
                <w:sz w:val="20"/>
                <w:szCs w:val="20"/>
              </w:rPr>
              <w:t>1.300</w:t>
            </w:r>
          </w:p>
        </w:tc>
      </w:tr>
      <w:tr w14:paraId="418F2306">
        <w:tblPrEx>
          <w:tblCellMar>
            <w:top w:w="0" w:type="dxa"/>
            <w:left w:w="108" w:type="dxa"/>
            <w:bottom w:w="0" w:type="dxa"/>
            <w:right w:w="108" w:type="dxa"/>
          </w:tblCellMar>
        </w:tblPrEx>
        <w:trPr>
          <w:trHeight w:val="567" w:hRule="atLeast"/>
        </w:trPr>
        <w:tc>
          <w:tcPr>
            <w:tcW w:w="1327" w:type="pct"/>
            <w:vMerge w:val="continue"/>
            <w:tcBorders>
              <w:top w:val="single" w:color="auto" w:sz="4" w:space="0"/>
              <w:left w:val="single" w:color="auto" w:sz="4" w:space="0"/>
              <w:bottom w:val="single" w:color="auto" w:sz="4" w:space="0"/>
              <w:right w:val="single" w:color="auto" w:sz="4" w:space="0"/>
            </w:tcBorders>
            <w:vAlign w:val="center"/>
          </w:tcPr>
          <w:p w14:paraId="07A5CE39">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7EE50C3D">
            <w:pPr>
              <w:pStyle w:val="150"/>
              <w:jc w:val="left"/>
              <w:rPr>
                <w:sz w:val="20"/>
                <w:szCs w:val="20"/>
              </w:rPr>
            </w:pPr>
            <w:r>
              <w:rPr>
                <w:sz w:val="20"/>
                <w:szCs w:val="20"/>
              </w:rPr>
              <w:t>Determinacije i laboratorijske obrade</w:t>
            </w:r>
          </w:p>
        </w:tc>
        <w:tc>
          <w:tcPr>
            <w:tcW w:w="904" w:type="pct"/>
            <w:tcBorders>
              <w:top w:val="single" w:color="auto" w:sz="4" w:space="0"/>
              <w:left w:val="nil"/>
              <w:bottom w:val="single" w:color="auto" w:sz="4" w:space="0"/>
              <w:right w:val="single" w:color="auto" w:sz="4" w:space="0"/>
            </w:tcBorders>
            <w:vAlign w:val="center"/>
          </w:tcPr>
          <w:p w14:paraId="34136E75">
            <w:pPr>
              <w:pStyle w:val="150"/>
              <w:rPr>
                <w:sz w:val="20"/>
                <w:szCs w:val="20"/>
              </w:rPr>
            </w:pPr>
            <w:r>
              <w:rPr>
                <w:sz w:val="20"/>
                <w:szCs w:val="20"/>
              </w:rPr>
              <w:t>9.784</w:t>
            </w:r>
          </w:p>
        </w:tc>
        <w:tc>
          <w:tcPr>
            <w:tcW w:w="903" w:type="pct"/>
            <w:tcBorders>
              <w:top w:val="single" w:color="auto" w:sz="4" w:space="0"/>
              <w:left w:val="nil"/>
              <w:bottom w:val="single" w:color="auto" w:sz="4" w:space="0"/>
              <w:right w:val="single" w:color="auto" w:sz="4" w:space="0"/>
            </w:tcBorders>
            <w:noWrap/>
            <w:vAlign w:val="center"/>
          </w:tcPr>
          <w:p w14:paraId="6881405D">
            <w:pPr>
              <w:pStyle w:val="150"/>
              <w:rPr>
                <w:sz w:val="20"/>
                <w:szCs w:val="20"/>
              </w:rPr>
            </w:pPr>
            <w:r>
              <w:rPr>
                <w:sz w:val="20"/>
                <w:szCs w:val="20"/>
              </w:rPr>
              <w:t>8.000</w:t>
            </w:r>
          </w:p>
        </w:tc>
      </w:tr>
      <w:tr w14:paraId="2403F76A">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right w:val="single" w:color="auto" w:sz="4" w:space="0"/>
            </w:tcBorders>
            <w:vAlign w:val="center"/>
          </w:tcPr>
          <w:p w14:paraId="2B3F84F5">
            <w:pPr>
              <w:pStyle w:val="150"/>
              <w:jc w:val="left"/>
              <w:rPr>
                <w:sz w:val="20"/>
                <w:szCs w:val="20"/>
              </w:rPr>
            </w:pPr>
            <w:r>
              <w:rPr>
                <w:sz w:val="20"/>
                <w:szCs w:val="20"/>
              </w:rPr>
              <w:t>Nacionalni program ranog otkrivanja raka dojke</w:t>
            </w:r>
          </w:p>
        </w:tc>
        <w:tc>
          <w:tcPr>
            <w:tcW w:w="1866" w:type="pct"/>
            <w:tcBorders>
              <w:top w:val="single" w:color="auto" w:sz="4" w:space="0"/>
              <w:left w:val="nil"/>
              <w:bottom w:val="single" w:color="auto" w:sz="4" w:space="0"/>
              <w:right w:val="single" w:color="auto" w:sz="4" w:space="0"/>
            </w:tcBorders>
            <w:vAlign w:val="center"/>
          </w:tcPr>
          <w:p w14:paraId="3EDC746F">
            <w:pPr>
              <w:pStyle w:val="150"/>
              <w:jc w:val="left"/>
              <w:rPr>
                <w:sz w:val="20"/>
                <w:szCs w:val="20"/>
              </w:rPr>
            </w:pPr>
            <w:r>
              <w:rPr>
                <w:sz w:val="20"/>
                <w:szCs w:val="20"/>
              </w:rPr>
              <w:t xml:space="preserve">Pozivanje žena </w:t>
            </w:r>
          </w:p>
        </w:tc>
        <w:tc>
          <w:tcPr>
            <w:tcW w:w="904" w:type="pct"/>
            <w:tcBorders>
              <w:top w:val="single" w:color="auto" w:sz="4" w:space="0"/>
              <w:left w:val="nil"/>
              <w:bottom w:val="single" w:color="auto" w:sz="4" w:space="0"/>
              <w:right w:val="single" w:color="auto" w:sz="4" w:space="0"/>
            </w:tcBorders>
            <w:vAlign w:val="center"/>
          </w:tcPr>
          <w:p w14:paraId="2A6BA077">
            <w:pPr>
              <w:pStyle w:val="150"/>
              <w:rPr>
                <w:sz w:val="20"/>
                <w:szCs w:val="20"/>
              </w:rPr>
            </w:pPr>
            <w:r>
              <w:rPr>
                <w:sz w:val="20"/>
                <w:szCs w:val="20"/>
              </w:rPr>
              <w:t>44.841</w:t>
            </w:r>
          </w:p>
        </w:tc>
        <w:tc>
          <w:tcPr>
            <w:tcW w:w="903" w:type="pct"/>
            <w:tcBorders>
              <w:top w:val="single" w:color="auto" w:sz="4" w:space="0"/>
              <w:left w:val="nil"/>
              <w:bottom w:val="single" w:color="auto" w:sz="4" w:space="0"/>
              <w:right w:val="single" w:color="auto" w:sz="4" w:space="0"/>
            </w:tcBorders>
            <w:noWrap/>
            <w:vAlign w:val="center"/>
          </w:tcPr>
          <w:p w14:paraId="7DF7BC69">
            <w:pPr>
              <w:pStyle w:val="150"/>
              <w:rPr>
                <w:sz w:val="20"/>
                <w:szCs w:val="20"/>
              </w:rPr>
            </w:pPr>
            <w:r>
              <w:rPr>
                <w:sz w:val="20"/>
                <w:szCs w:val="20"/>
              </w:rPr>
              <w:t>65.000</w:t>
            </w:r>
          </w:p>
        </w:tc>
      </w:tr>
      <w:tr w14:paraId="0D10D1EA">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47376D4E">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34693456">
            <w:pPr>
              <w:pStyle w:val="150"/>
              <w:jc w:val="left"/>
              <w:rPr>
                <w:sz w:val="20"/>
                <w:szCs w:val="20"/>
              </w:rPr>
            </w:pPr>
            <w:r>
              <w:rPr>
                <w:sz w:val="20"/>
                <w:szCs w:val="20"/>
              </w:rPr>
              <w:t xml:space="preserve">Savjetovanje </w:t>
            </w:r>
          </w:p>
        </w:tc>
        <w:tc>
          <w:tcPr>
            <w:tcW w:w="904" w:type="pct"/>
            <w:tcBorders>
              <w:top w:val="single" w:color="auto" w:sz="4" w:space="0"/>
              <w:left w:val="nil"/>
              <w:bottom w:val="single" w:color="auto" w:sz="4" w:space="0"/>
              <w:right w:val="single" w:color="auto" w:sz="4" w:space="0"/>
            </w:tcBorders>
            <w:vAlign w:val="center"/>
          </w:tcPr>
          <w:p w14:paraId="43098967">
            <w:pPr>
              <w:pStyle w:val="150"/>
              <w:rPr>
                <w:sz w:val="20"/>
                <w:szCs w:val="20"/>
              </w:rPr>
            </w:pPr>
            <w:r>
              <w:rPr>
                <w:rFonts w:cstheme="minorHAnsi"/>
                <w:sz w:val="20"/>
                <w:szCs w:val="20"/>
              </w:rPr>
              <w:t>8.300</w:t>
            </w:r>
          </w:p>
        </w:tc>
        <w:tc>
          <w:tcPr>
            <w:tcW w:w="903" w:type="pct"/>
            <w:tcBorders>
              <w:top w:val="single" w:color="auto" w:sz="4" w:space="0"/>
              <w:left w:val="nil"/>
              <w:bottom w:val="single" w:color="auto" w:sz="4" w:space="0"/>
              <w:right w:val="single" w:color="auto" w:sz="4" w:space="0"/>
            </w:tcBorders>
            <w:noWrap/>
            <w:vAlign w:val="center"/>
          </w:tcPr>
          <w:p w14:paraId="5FE91D2B">
            <w:pPr>
              <w:pStyle w:val="150"/>
              <w:rPr>
                <w:sz w:val="20"/>
                <w:szCs w:val="20"/>
              </w:rPr>
            </w:pPr>
            <w:r>
              <w:rPr>
                <w:sz w:val="20"/>
                <w:szCs w:val="20"/>
              </w:rPr>
              <w:t>11.000</w:t>
            </w:r>
          </w:p>
        </w:tc>
      </w:tr>
      <w:tr w14:paraId="12966B82">
        <w:tblPrEx>
          <w:tblCellMar>
            <w:top w:w="0" w:type="dxa"/>
            <w:left w:w="108" w:type="dxa"/>
            <w:bottom w:w="0" w:type="dxa"/>
            <w:right w:w="108" w:type="dxa"/>
          </w:tblCellMar>
        </w:tblPrEx>
        <w:trPr>
          <w:trHeight w:val="567" w:hRule="atLeast"/>
        </w:trPr>
        <w:tc>
          <w:tcPr>
            <w:tcW w:w="1327" w:type="pct"/>
            <w:vMerge w:val="continue"/>
            <w:tcBorders>
              <w:left w:val="single" w:color="auto" w:sz="4" w:space="0"/>
              <w:bottom w:val="single" w:color="auto" w:sz="4" w:space="0"/>
              <w:right w:val="single" w:color="auto" w:sz="4" w:space="0"/>
            </w:tcBorders>
            <w:vAlign w:val="center"/>
          </w:tcPr>
          <w:p w14:paraId="5951C8EF">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31966B3E">
            <w:pPr>
              <w:pStyle w:val="150"/>
              <w:jc w:val="left"/>
              <w:rPr>
                <w:sz w:val="20"/>
                <w:szCs w:val="20"/>
              </w:rPr>
            </w:pPr>
            <w:r>
              <w:rPr>
                <w:sz w:val="20"/>
                <w:szCs w:val="20"/>
              </w:rPr>
              <w:t xml:space="preserve">Mamografsko snimanje </w:t>
            </w:r>
          </w:p>
        </w:tc>
        <w:tc>
          <w:tcPr>
            <w:tcW w:w="904" w:type="pct"/>
            <w:tcBorders>
              <w:top w:val="single" w:color="auto" w:sz="4" w:space="0"/>
              <w:left w:val="nil"/>
              <w:bottom w:val="single" w:color="auto" w:sz="4" w:space="0"/>
              <w:right w:val="single" w:color="auto" w:sz="4" w:space="0"/>
            </w:tcBorders>
            <w:vAlign w:val="center"/>
          </w:tcPr>
          <w:p w14:paraId="729CEB02">
            <w:pPr>
              <w:pStyle w:val="150"/>
              <w:rPr>
                <w:sz w:val="20"/>
                <w:szCs w:val="20"/>
              </w:rPr>
            </w:pPr>
            <w:r>
              <w:rPr>
                <w:sz w:val="20"/>
                <w:szCs w:val="20"/>
              </w:rPr>
              <w:t>3.176</w:t>
            </w:r>
          </w:p>
        </w:tc>
        <w:tc>
          <w:tcPr>
            <w:tcW w:w="903" w:type="pct"/>
            <w:tcBorders>
              <w:top w:val="single" w:color="auto" w:sz="4" w:space="0"/>
              <w:left w:val="nil"/>
              <w:bottom w:val="single" w:color="auto" w:sz="4" w:space="0"/>
              <w:right w:val="single" w:color="auto" w:sz="4" w:space="0"/>
            </w:tcBorders>
            <w:noWrap/>
            <w:vAlign w:val="center"/>
          </w:tcPr>
          <w:p w14:paraId="08F0A27E">
            <w:pPr>
              <w:pStyle w:val="150"/>
              <w:rPr>
                <w:sz w:val="20"/>
                <w:szCs w:val="20"/>
              </w:rPr>
            </w:pPr>
            <w:r>
              <w:rPr>
                <w:sz w:val="20"/>
                <w:szCs w:val="20"/>
              </w:rPr>
              <w:t>2.200</w:t>
            </w:r>
          </w:p>
        </w:tc>
      </w:tr>
      <w:tr w14:paraId="45DAE1EF">
        <w:tblPrEx>
          <w:tblCellMar>
            <w:top w:w="0" w:type="dxa"/>
            <w:left w:w="108" w:type="dxa"/>
            <w:bottom w:w="0" w:type="dxa"/>
            <w:right w:w="108" w:type="dxa"/>
          </w:tblCellMar>
        </w:tblPrEx>
        <w:trPr>
          <w:trHeight w:val="567" w:hRule="atLeast"/>
        </w:trPr>
        <w:tc>
          <w:tcPr>
            <w:tcW w:w="1327" w:type="pct"/>
            <w:tcBorders>
              <w:top w:val="single" w:color="auto" w:sz="4" w:space="0"/>
              <w:left w:val="single" w:color="auto" w:sz="4" w:space="0"/>
              <w:bottom w:val="single" w:color="auto" w:sz="4" w:space="0"/>
              <w:right w:val="single" w:color="auto" w:sz="4" w:space="0"/>
            </w:tcBorders>
            <w:vAlign w:val="center"/>
          </w:tcPr>
          <w:p w14:paraId="2FA70264">
            <w:pPr>
              <w:pStyle w:val="150"/>
              <w:jc w:val="left"/>
              <w:rPr>
                <w:sz w:val="20"/>
                <w:szCs w:val="20"/>
              </w:rPr>
            </w:pPr>
            <w:r>
              <w:rPr>
                <w:sz w:val="20"/>
                <w:szCs w:val="20"/>
              </w:rPr>
              <w:t>Preventivna mobilna mamografija</w:t>
            </w:r>
          </w:p>
        </w:tc>
        <w:tc>
          <w:tcPr>
            <w:tcW w:w="1866" w:type="pct"/>
            <w:tcBorders>
              <w:top w:val="single" w:color="auto" w:sz="4" w:space="0"/>
              <w:left w:val="nil"/>
              <w:bottom w:val="single" w:color="auto" w:sz="4" w:space="0"/>
              <w:right w:val="single" w:color="auto" w:sz="4" w:space="0"/>
            </w:tcBorders>
            <w:vAlign w:val="center"/>
          </w:tcPr>
          <w:p w14:paraId="35137797">
            <w:pPr>
              <w:pStyle w:val="150"/>
              <w:jc w:val="left"/>
              <w:rPr>
                <w:sz w:val="20"/>
                <w:szCs w:val="20"/>
              </w:rPr>
            </w:pPr>
            <w:r>
              <w:rPr>
                <w:sz w:val="20"/>
                <w:szCs w:val="20"/>
              </w:rPr>
              <w:t>Mamografsko snimanje</w:t>
            </w:r>
          </w:p>
        </w:tc>
        <w:tc>
          <w:tcPr>
            <w:tcW w:w="904" w:type="pct"/>
            <w:tcBorders>
              <w:top w:val="single" w:color="auto" w:sz="4" w:space="0"/>
              <w:left w:val="nil"/>
              <w:bottom w:val="single" w:color="auto" w:sz="4" w:space="0"/>
              <w:right w:val="single" w:color="auto" w:sz="4" w:space="0"/>
            </w:tcBorders>
            <w:vAlign w:val="center"/>
          </w:tcPr>
          <w:p w14:paraId="46DFBDB6">
            <w:pPr>
              <w:pStyle w:val="150"/>
              <w:rPr>
                <w:sz w:val="20"/>
                <w:szCs w:val="20"/>
              </w:rPr>
            </w:pPr>
            <w:r>
              <w:rPr>
                <w:rFonts w:cstheme="minorHAnsi"/>
                <w:sz w:val="20"/>
                <w:szCs w:val="20"/>
              </w:rPr>
              <w:t>1.588</w:t>
            </w:r>
          </w:p>
        </w:tc>
        <w:tc>
          <w:tcPr>
            <w:tcW w:w="903" w:type="pct"/>
            <w:tcBorders>
              <w:top w:val="single" w:color="auto" w:sz="4" w:space="0"/>
              <w:left w:val="nil"/>
              <w:bottom w:val="single" w:color="auto" w:sz="4" w:space="0"/>
              <w:right w:val="single" w:color="auto" w:sz="4" w:space="0"/>
            </w:tcBorders>
            <w:noWrap/>
            <w:vAlign w:val="center"/>
          </w:tcPr>
          <w:p w14:paraId="107DD180">
            <w:pPr>
              <w:pStyle w:val="150"/>
              <w:rPr>
                <w:sz w:val="20"/>
                <w:szCs w:val="20"/>
              </w:rPr>
            </w:pPr>
            <w:r>
              <w:rPr>
                <w:sz w:val="20"/>
                <w:szCs w:val="20"/>
              </w:rPr>
              <w:t>2.000</w:t>
            </w:r>
          </w:p>
        </w:tc>
      </w:tr>
      <w:tr w14:paraId="4A761D8F">
        <w:tblPrEx>
          <w:tblCellMar>
            <w:top w:w="0" w:type="dxa"/>
            <w:left w:w="108" w:type="dxa"/>
            <w:bottom w:w="0" w:type="dxa"/>
            <w:right w:w="108" w:type="dxa"/>
          </w:tblCellMar>
        </w:tblPrEx>
        <w:trPr>
          <w:trHeight w:val="567" w:hRule="atLeast"/>
        </w:trPr>
        <w:tc>
          <w:tcPr>
            <w:tcW w:w="1327" w:type="pct"/>
            <w:vMerge w:val="restart"/>
            <w:tcBorders>
              <w:top w:val="single" w:color="auto" w:sz="4" w:space="0"/>
              <w:left w:val="single" w:color="auto" w:sz="4" w:space="0"/>
              <w:right w:val="single" w:color="auto" w:sz="4" w:space="0"/>
            </w:tcBorders>
            <w:vAlign w:val="center"/>
          </w:tcPr>
          <w:p w14:paraId="791A5DC5">
            <w:pPr>
              <w:pStyle w:val="150"/>
              <w:jc w:val="left"/>
              <w:rPr>
                <w:spacing w:val="-10"/>
                <w:sz w:val="20"/>
                <w:szCs w:val="20"/>
              </w:rPr>
            </w:pPr>
            <w:r>
              <w:rPr>
                <w:spacing w:val="-10"/>
                <w:sz w:val="20"/>
                <w:szCs w:val="20"/>
              </w:rPr>
              <w:t>Nacionalni program ranog otkrivanja raka debelog crijeva</w:t>
            </w:r>
          </w:p>
        </w:tc>
        <w:tc>
          <w:tcPr>
            <w:tcW w:w="1866" w:type="pct"/>
            <w:tcBorders>
              <w:top w:val="single" w:color="auto" w:sz="4" w:space="0"/>
              <w:left w:val="nil"/>
              <w:bottom w:val="single" w:color="auto" w:sz="4" w:space="0"/>
              <w:right w:val="single" w:color="auto" w:sz="4" w:space="0"/>
            </w:tcBorders>
            <w:vAlign w:val="center"/>
          </w:tcPr>
          <w:p w14:paraId="038C4781">
            <w:pPr>
              <w:pStyle w:val="150"/>
              <w:jc w:val="left"/>
              <w:rPr>
                <w:sz w:val="20"/>
                <w:szCs w:val="20"/>
              </w:rPr>
            </w:pPr>
            <w:r>
              <w:rPr>
                <w:sz w:val="20"/>
                <w:szCs w:val="20"/>
              </w:rPr>
              <w:t>Pozivanje stanovnika – prvi poziv</w:t>
            </w:r>
          </w:p>
        </w:tc>
        <w:tc>
          <w:tcPr>
            <w:tcW w:w="904" w:type="pct"/>
            <w:tcBorders>
              <w:top w:val="single" w:color="auto" w:sz="4" w:space="0"/>
              <w:left w:val="nil"/>
              <w:bottom w:val="single" w:color="auto" w:sz="4" w:space="0"/>
              <w:right w:val="single" w:color="auto" w:sz="4" w:space="0"/>
            </w:tcBorders>
            <w:vAlign w:val="center"/>
          </w:tcPr>
          <w:p w14:paraId="379FD9EF">
            <w:pPr>
              <w:pStyle w:val="150"/>
              <w:rPr>
                <w:sz w:val="20"/>
                <w:szCs w:val="20"/>
              </w:rPr>
            </w:pPr>
            <w:r>
              <w:rPr>
                <w:sz w:val="20"/>
                <w:szCs w:val="20"/>
              </w:rPr>
              <w:t>47.525</w:t>
            </w:r>
          </w:p>
        </w:tc>
        <w:tc>
          <w:tcPr>
            <w:tcW w:w="903" w:type="pct"/>
            <w:tcBorders>
              <w:top w:val="single" w:color="auto" w:sz="4" w:space="0"/>
              <w:left w:val="nil"/>
              <w:bottom w:val="single" w:color="auto" w:sz="4" w:space="0"/>
              <w:right w:val="single" w:color="auto" w:sz="4" w:space="0"/>
            </w:tcBorders>
            <w:noWrap/>
            <w:vAlign w:val="center"/>
          </w:tcPr>
          <w:p w14:paraId="0A7876E6">
            <w:pPr>
              <w:pStyle w:val="150"/>
              <w:rPr>
                <w:sz w:val="20"/>
                <w:szCs w:val="20"/>
              </w:rPr>
            </w:pPr>
            <w:r>
              <w:rPr>
                <w:sz w:val="20"/>
                <w:szCs w:val="20"/>
              </w:rPr>
              <w:t>50.000</w:t>
            </w:r>
          </w:p>
        </w:tc>
      </w:tr>
      <w:tr w14:paraId="2427CDC7">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3058E625">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5D81E232">
            <w:pPr>
              <w:pStyle w:val="150"/>
              <w:jc w:val="left"/>
              <w:rPr>
                <w:sz w:val="20"/>
                <w:szCs w:val="20"/>
              </w:rPr>
            </w:pPr>
            <w:r>
              <w:rPr>
                <w:sz w:val="20"/>
                <w:szCs w:val="20"/>
              </w:rPr>
              <w:t>Slanje kompleta za testiranje</w:t>
            </w:r>
          </w:p>
        </w:tc>
        <w:tc>
          <w:tcPr>
            <w:tcW w:w="904" w:type="pct"/>
            <w:tcBorders>
              <w:top w:val="single" w:color="auto" w:sz="4" w:space="0"/>
              <w:left w:val="nil"/>
              <w:bottom w:val="single" w:color="auto" w:sz="4" w:space="0"/>
              <w:right w:val="single" w:color="auto" w:sz="4" w:space="0"/>
            </w:tcBorders>
            <w:vAlign w:val="center"/>
          </w:tcPr>
          <w:p w14:paraId="5ACF8050">
            <w:pPr>
              <w:pStyle w:val="150"/>
              <w:rPr>
                <w:sz w:val="20"/>
                <w:szCs w:val="20"/>
              </w:rPr>
            </w:pPr>
            <w:r>
              <w:rPr>
                <w:rFonts w:cstheme="minorHAnsi"/>
                <w:sz w:val="20"/>
                <w:szCs w:val="20"/>
              </w:rPr>
              <w:t>12.370</w:t>
            </w:r>
          </w:p>
        </w:tc>
        <w:tc>
          <w:tcPr>
            <w:tcW w:w="903" w:type="pct"/>
            <w:tcBorders>
              <w:top w:val="single" w:color="auto" w:sz="4" w:space="0"/>
              <w:left w:val="nil"/>
              <w:bottom w:val="single" w:color="auto" w:sz="4" w:space="0"/>
              <w:right w:val="single" w:color="auto" w:sz="4" w:space="0"/>
            </w:tcBorders>
            <w:noWrap/>
            <w:vAlign w:val="center"/>
          </w:tcPr>
          <w:p w14:paraId="657A6955">
            <w:pPr>
              <w:pStyle w:val="150"/>
              <w:rPr>
                <w:sz w:val="20"/>
                <w:szCs w:val="20"/>
              </w:rPr>
            </w:pPr>
            <w:r>
              <w:rPr>
                <w:sz w:val="20"/>
                <w:szCs w:val="20"/>
              </w:rPr>
              <w:t>15.000</w:t>
            </w:r>
          </w:p>
        </w:tc>
      </w:tr>
      <w:tr w14:paraId="7B54DACC">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260E145A">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052F77FF">
            <w:pPr>
              <w:pStyle w:val="150"/>
              <w:jc w:val="left"/>
              <w:rPr>
                <w:sz w:val="20"/>
                <w:szCs w:val="20"/>
              </w:rPr>
            </w:pPr>
            <w:r>
              <w:rPr>
                <w:sz w:val="20"/>
                <w:szCs w:val="20"/>
              </w:rPr>
              <w:t>Provođenje testiranja na okultno krvarenje u stolici</w:t>
            </w:r>
          </w:p>
        </w:tc>
        <w:tc>
          <w:tcPr>
            <w:tcW w:w="904" w:type="pct"/>
            <w:tcBorders>
              <w:top w:val="single" w:color="auto" w:sz="4" w:space="0"/>
              <w:left w:val="nil"/>
              <w:bottom w:val="single" w:color="auto" w:sz="4" w:space="0"/>
              <w:right w:val="single" w:color="auto" w:sz="4" w:space="0"/>
            </w:tcBorders>
            <w:vAlign w:val="center"/>
          </w:tcPr>
          <w:p w14:paraId="091B2710">
            <w:pPr>
              <w:pStyle w:val="150"/>
              <w:rPr>
                <w:sz w:val="20"/>
                <w:szCs w:val="20"/>
              </w:rPr>
            </w:pPr>
            <w:r>
              <w:rPr>
                <w:sz w:val="20"/>
                <w:szCs w:val="20"/>
              </w:rPr>
              <w:t>8.406</w:t>
            </w:r>
          </w:p>
        </w:tc>
        <w:tc>
          <w:tcPr>
            <w:tcW w:w="903" w:type="pct"/>
            <w:tcBorders>
              <w:top w:val="single" w:color="auto" w:sz="4" w:space="0"/>
              <w:left w:val="nil"/>
              <w:bottom w:val="single" w:color="auto" w:sz="4" w:space="0"/>
              <w:right w:val="single" w:color="auto" w:sz="4" w:space="0"/>
            </w:tcBorders>
            <w:noWrap/>
            <w:vAlign w:val="center"/>
          </w:tcPr>
          <w:p w14:paraId="71B657D8">
            <w:pPr>
              <w:pStyle w:val="150"/>
              <w:rPr>
                <w:sz w:val="20"/>
                <w:szCs w:val="20"/>
              </w:rPr>
            </w:pPr>
            <w:r>
              <w:rPr>
                <w:sz w:val="20"/>
                <w:szCs w:val="20"/>
              </w:rPr>
              <w:t>10.000</w:t>
            </w:r>
          </w:p>
        </w:tc>
      </w:tr>
      <w:tr w14:paraId="585C1F81">
        <w:tblPrEx>
          <w:tblCellMar>
            <w:top w:w="0" w:type="dxa"/>
            <w:left w:w="108" w:type="dxa"/>
            <w:bottom w:w="0" w:type="dxa"/>
            <w:right w:w="108" w:type="dxa"/>
          </w:tblCellMar>
        </w:tblPrEx>
        <w:trPr>
          <w:trHeight w:val="567" w:hRule="atLeast"/>
        </w:trPr>
        <w:tc>
          <w:tcPr>
            <w:tcW w:w="1327" w:type="pct"/>
            <w:vMerge w:val="continue"/>
            <w:tcBorders>
              <w:left w:val="single" w:color="auto" w:sz="4" w:space="0"/>
              <w:right w:val="single" w:color="auto" w:sz="4" w:space="0"/>
            </w:tcBorders>
            <w:vAlign w:val="center"/>
          </w:tcPr>
          <w:p w14:paraId="015AC284">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11E505EB">
            <w:pPr>
              <w:pStyle w:val="150"/>
              <w:jc w:val="left"/>
              <w:rPr>
                <w:sz w:val="20"/>
                <w:szCs w:val="20"/>
              </w:rPr>
            </w:pPr>
            <w:r>
              <w:rPr>
                <w:sz w:val="20"/>
                <w:szCs w:val="20"/>
              </w:rPr>
              <w:t>Naručivanje osoba na kolonoskopiju</w:t>
            </w:r>
          </w:p>
        </w:tc>
        <w:tc>
          <w:tcPr>
            <w:tcW w:w="904" w:type="pct"/>
            <w:tcBorders>
              <w:top w:val="single" w:color="auto" w:sz="4" w:space="0"/>
              <w:left w:val="nil"/>
              <w:bottom w:val="single" w:color="auto" w:sz="4" w:space="0"/>
              <w:right w:val="single" w:color="auto" w:sz="4" w:space="0"/>
            </w:tcBorders>
            <w:vAlign w:val="center"/>
          </w:tcPr>
          <w:p w14:paraId="1A20B22F">
            <w:pPr>
              <w:pStyle w:val="150"/>
              <w:rPr>
                <w:sz w:val="20"/>
                <w:szCs w:val="20"/>
              </w:rPr>
            </w:pPr>
            <w:r>
              <w:rPr>
                <w:sz w:val="20"/>
                <w:szCs w:val="20"/>
              </w:rPr>
              <w:t>153</w:t>
            </w:r>
          </w:p>
        </w:tc>
        <w:tc>
          <w:tcPr>
            <w:tcW w:w="903" w:type="pct"/>
            <w:tcBorders>
              <w:top w:val="single" w:color="auto" w:sz="4" w:space="0"/>
              <w:left w:val="nil"/>
              <w:bottom w:val="single" w:color="auto" w:sz="4" w:space="0"/>
              <w:right w:val="single" w:color="auto" w:sz="4" w:space="0"/>
            </w:tcBorders>
            <w:noWrap/>
            <w:vAlign w:val="center"/>
          </w:tcPr>
          <w:p w14:paraId="736081B0">
            <w:pPr>
              <w:pStyle w:val="150"/>
              <w:rPr>
                <w:sz w:val="20"/>
                <w:szCs w:val="20"/>
              </w:rPr>
            </w:pPr>
            <w:r>
              <w:rPr>
                <w:sz w:val="20"/>
                <w:szCs w:val="20"/>
              </w:rPr>
              <w:t>300</w:t>
            </w:r>
          </w:p>
        </w:tc>
      </w:tr>
      <w:tr w14:paraId="43730D85">
        <w:tblPrEx>
          <w:tblCellMar>
            <w:top w:w="0" w:type="dxa"/>
            <w:left w:w="108" w:type="dxa"/>
            <w:bottom w:w="0" w:type="dxa"/>
            <w:right w:w="108" w:type="dxa"/>
          </w:tblCellMar>
        </w:tblPrEx>
        <w:trPr>
          <w:trHeight w:val="567" w:hRule="atLeast"/>
        </w:trPr>
        <w:tc>
          <w:tcPr>
            <w:tcW w:w="1327" w:type="pct"/>
            <w:vMerge w:val="continue"/>
            <w:tcBorders>
              <w:left w:val="single" w:color="auto" w:sz="4" w:space="0"/>
              <w:bottom w:val="single" w:color="auto" w:sz="4" w:space="0"/>
              <w:right w:val="single" w:color="auto" w:sz="4" w:space="0"/>
            </w:tcBorders>
            <w:vAlign w:val="center"/>
          </w:tcPr>
          <w:p w14:paraId="613182EF">
            <w:pPr>
              <w:pStyle w:val="150"/>
              <w:jc w:val="left"/>
              <w:rPr>
                <w:sz w:val="20"/>
                <w:szCs w:val="20"/>
              </w:rPr>
            </w:pPr>
          </w:p>
        </w:tc>
        <w:tc>
          <w:tcPr>
            <w:tcW w:w="1866" w:type="pct"/>
            <w:tcBorders>
              <w:top w:val="single" w:color="auto" w:sz="4" w:space="0"/>
              <w:left w:val="nil"/>
              <w:bottom w:val="single" w:color="auto" w:sz="4" w:space="0"/>
              <w:right w:val="single" w:color="auto" w:sz="4" w:space="0"/>
            </w:tcBorders>
            <w:vAlign w:val="center"/>
          </w:tcPr>
          <w:p w14:paraId="4378FA51">
            <w:pPr>
              <w:pStyle w:val="150"/>
              <w:jc w:val="left"/>
              <w:rPr>
                <w:sz w:val="20"/>
                <w:szCs w:val="20"/>
              </w:rPr>
            </w:pPr>
            <w:r>
              <w:rPr>
                <w:sz w:val="20"/>
                <w:szCs w:val="20"/>
              </w:rPr>
              <w:t>Savjetovanje</w:t>
            </w:r>
          </w:p>
        </w:tc>
        <w:tc>
          <w:tcPr>
            <w:tcW w:w="904" w:type="pct"/>
            <w:tcBorders>
              <w:top w:val="single" w:color="auto" w:sz="4" w:space="0"/>
              <w:left w:val="nil"/>
              <w:bottom w:val="single" w:color="auto" w:sz="4" w:space="0"/>
              <w:right w:val="single" w:color="auto" w:sz="4" w:space="0"/>
            </w:tcBorders>
            <w:vAlign w:val="center"/>
          </w:tcPr>
          <w:p w14:paraId="1327DA0F">
            <w:pPr>
              <w:pStyle w:val="150"/>
              <w:rPr>
                <w:sz w:val="20"/>
                <w:szCs w:val="20"/>
              </w:rPr>
            </w:pPr>
            <w:r>
              <w:rPr>
                <w:sz w:val="20"/>
                <w:szCs w:val="20"/>
              </w:rPr>
              <w:t>5.800</w:t>
            </w:r>
          </w:p>
        </w:tc>
        <w:tc>
          <w:tcPr>
            <w:tcW w:w="903" w:type="pct"/>
            <w:tcBorders>
              <w:top w:val="single" w:color="auto" w:sz="4" w:space="0"/>
              <w:left w:val="nil"/>
              <w:bottom w:val="single" w:color="auto" w:sz="4" w:space="0"/>
              <w:right w:val="single" w:color="auto" w:sz="4" w:space="0"/>
            </w:tcBorders>
            <w:noWrap/>
            <w:vAlign w:val="center"/>
          </w:tcPr>
          <w:p w14:paraId="7AE522C0">
            <w:pPr>
              <w:pStyle w:val="150"/>
              <w:rPr>
                <w:sz w:val="20"/>
                <w:szCs w:val="20"/>
              </w:rPr>
            </w:pPr>
            <w:r>
              <w:rPr>
                <w:sz w:val="20"/>
                <w:szCs w:val="20"/>
              </w:rPr>
              <w:t>5.000</w:t>
            </w:r>
          </w:p>
        </w:tc>
      </w:tr>
    </w:tbl>
    <w:p w14:paraId="23291AEA"/>
    <w:p w14:paraId="0ED235F2">
      <w:r>
        <w:br w:type="page"/>
      </w:r>
    </w:p>
    <w:p w14:paraId="6E8FC79E"/>
    <w:p w14:paraId="798C38D3">
      <w:pPr>
        <w:pStyle w:val="2"/>
      </w:pPr>
      <w:bookmarkStart w:id="9" w:name="_Toc84862484"/>
      <w:bookmarkStart w:id="10" w:name="_Toc184821161"/>
      <w:bookmarkStart w:id="11" w:name="_Toc473726688"/>
      <w:r>
        <w:t>3. Služba za kliničku mikrobiologiju</w:t>
      </w:r>
      <w:bookmarkEnd w:id="9"/>
      <w:bookmarkEnd w:id="10"/>
      <w:bookmarkEnd w:id="11"/>
    </w:p>
    <w:p w14:paraId="136CF369"/>
    <w:p w14:paraId="647A707C">
      <w:pPr>
        <w:pStyle w:val="147"/>
      </w:pPr>
      <w:r>
        <w:t>SAŽETAK DJELOKRUGA RADA</w:t>
      </w:r>
    </w:p>
    <w:p w14:paraId="483A2747">
      <w:r>
        <w:t>Služba za kliničku mikrobiologiju (SKM) obavlja poslove iz domene specijalističko-konzilijarne zdravstvene zaštite iz područja medicinske/kliničke mikrobiologije (sekundarna zdravstvena zaštita, zdravstvena skrb vezana uz dijagnostiku i liječenje).</w:t>
      </w:r>
    </w:p>
    <w:p w14:paraId="7A01ADA6">
      <w:r>
        <w:t>Radni procesi obuhvaćaju uzorkovanje i zaprimanje kliničkih uzoraka za potrebe mikrobiološke dijagnostike (krv, likvor, urin, stolica, aspirati, punktati, obrisci kože i sluznica itd.), obradu uzoraka te izdavanje nalaza. Konzilijarni dio obuhvaća savjetovanja i preporuke liječnicima te pacijentima vezana uz mikrobiološku dijagnostiku i antimikrobnu terapiju. Liječnici službe su specijalisti kliničke mikrobiologije i angažirani su u povjerenstvima za praćenje hospitalnih infekcija u različitim stacionarnim ustanovama na području Grada Zagreba i domovima za starije osobe na području Grada.</w:t>
      </w:r>
    </w:p>
    <w:p w14:paraId="2D6FB7DC">
      <w:r>
        <w:t>Pored te osnovne djelatnosti u SKM-u se proizvode mikrobiološke podloge za potrebe službe, kao i za potrebe Službe za zaštitu okoliša i zdravstvenu ekologiju. Od 2017. godine od kako je kontrola kvalitete mikrobioloških podloga na razini službe unaprijeđena, a mikrobiološke podloge upisane kod Hrvatske agencije za lijekove u Očevidnik medicinskih proizvoda te imaju IVD i CE oznaku kvalitete, počela je proizvodnja podloga za uzgoj mikroorganizama i za potrebe drugih mikrobioloških laboratorija u RH. Pored proizvodnje podloga, u Odjelu za mikrobiološke podloge i sterilizaciju SKM-a se provodi i biološka kontrola sterilizacije i kontrola sterilnosti za vanjske korisnike.</w:t>
      </w:r>
    </w:p>
    <w:p w14:paraId="31ED44D2">
      <w:r>
        <w:t>U dislociranom odjelu SKM-a u Domu zdravlja u Remetincu se u okviru sanitarnog nadzora provode mikrobiološke analize stolice za potrebe tržišta.</w:t>
      </w:r>
    </w:p>
    <w:p w14:paraId="7675F438">
      <w:pPr>
        <w:rPr>
          <w:spacing w:val="-2"/>
        </w:rPr>
      </w:pPr>
      <w:r>
        <w:rPr>
          <w:spacing w:val="-2"/>
        </w:rPr>
        <w:t xml:space="preserve">Služba se je iznimno angažirala u suzbijanju pandemije COVID-19 (uvedeno je RT-PCR testiranje na SARS-CoV-2 ne samo u SKM-u, nego se je aktivno doprinijelo da se molekularna testiranja uvedu u drugom gradovima u RH, od Osijeka do Dubrovnika, uveden je prvi </w:t>
      </w:r>
      <w:r>
        <w:rPr>
          <w:i/>
          <w:iCs/>
          <w:spacing w:val="-2"/>
        </w:rPr>
        <w:t>drive-in</w:t>
      </w:r>
      <w:r>
        <w:rPr>
          <w:spacing w:val="-2"/>
        </w:rPr>
        <w:t xml:space="preserve"> sustav uzorkovanja u čitavoj regiji, po prvi puta su validirani brzi antigenski testovi te su educirani liječnici primarne zdravstvene zaštite Grada Zagreba za njihovu upotrebu zbog čega je i dodijeljeno priznanje Medicinskog fakulteta Sveučilišta u Zagrebu Službi za izuzetan doprinos struci i znanosti u 2020. godini. Nadalje, po prvi puta u RH uveden je probirni RT-PCR test koji detektira različite mutacije karakteristične za pojedine varijante virusa, validiran je i uveden neutralizacijski test koji detektira neutralizacijska protutijela i njihov udio u ukupnim protutijelima na SARS-CoV-2 kod seropozitivnih pacijenata, itd., pa je stoga djelatnicima SKM-a 2022. godine Hrvatsko društvo za kliničku mikrobiologiju Hrvatskoga liječničkog zbora dodijelilo priznanje za stručni doprinos u suzbijanju COVID-19 pandemije. Zbog epidemiološke situacije u Gradu Zagrebu, a na traženje Ministarstva zdravstva RH, ponovno je otvoren </w:t>
      </w:r>
      <w:r>
        <w:rPr>
          <w:i/>
          <w:iCs/>
          <w:spacing w:val="-2"/>
        </w:rPr>
        <w:t>drive-in</w:t>
      </w:r>
      <w:r>
        <w:rPr>
          <w:spacing w:val="-2"/>
        </w:rPr>
        <w:t xml:space="preserve"> sustav uzorkovanja i uvedeno je testiranje na hripavac (</w:t>
      </w:r>
      <w:r>
        <w:rPr>
          <w:i/>
          <w:iCs/>
          <w:spacing w:val="-2"/>
        </w:rPr>
        <w:t>pertussis</w:t>
      </w:r>
      <w:r>
        <w:rPr>
          <w:spacing w:val="-2"/>
        </w:rPr>
        <w:t>) od 01. prosinca 2023., od kada je HZZO odobrio financiranje pretrage izvan ugovorenih limita. Pretraga se od 2024. plaća u okviru ugovorenih limita, koji su u prošloj godini značajno povećani.</w:t>
      </w:r>
    </w:p>
    <w:p w14:paraId="2626F092">
      <w:r>
        <w:t xml:space="preserve">Uz sve navedeno, SKM sudjeluje u različitim preventivnim akcijama i programima koje provode druge službe ustanove; od 2017-2020. bio je aktivan trogodišnji potprogram „Probira na spolno-prenosive bakterije </w:t>
      </w:r>
      <w:r>
        <w:rPr>
          <w:i/>
          <w:iCs/>
        </w:rPr>
        <w:t>Mycoplasma genitalium</w:t>
      </w:r>
      <w:r>
        <w:t xml:space="preserve"> i </w:t>
      </w:r>
      <w:r>
        <w:rPr>
          <w:i/>
          <w:iCs/>
        </w:rPr>
        <w:t>Chlamydia trachomatis</w:t>
      </w:r>
      <w:r>
        <w:t>“ koji se je provodio u okviru programa Službe za školsku i adolescentnu medicinu naziva: „Zdravstveni izazovi adolescenata u Gradu Zagrebu – prevencija i intervencija“, a po njegovom završetku služba je sudjelovala zajedno sa Službom za epidemiologiju u izvođenju projektu financiranog od strane HRZZ voditelja Aleksandra Štulhofera s Filozofskog fakulteta naslovljenog „Dinamika reproduktivnog i seksualnog zdravlja mladih u Hrvatskoj“. Budući da je SKM jedina klinička mikrobiologija u RH akreditirana od strane HAA za provođenje HPV PCR testiranja, očekuje značajna uloga Službe u provođenju organiziranog probira karcinoma vrata maternice koji je zaustavljen još 2012. i prebačen na oportunistički zbog tehničkih poteškoća u provedbi, i nužno ga je ponovno pokrenuti.</w:t>
      </w:r>
    </w:p>
    <w:p w14:paraId="3EE7DDFE">
      <w:r>
        <w:t>Pored toga, SKM ima i važnu edukativnu ulogu, kako u stalnom medicinskom usavršavanju zdravstvenih djelatnika (Služba organizira i sudjeluje na brojnim kongresima, stručnim skupovima i tečajevima, a tri djelatnika SKM-a su kumulativno zaposlena na Medicinskom fakultetu Sveučilišta u Zagrebu kao nastavnici), tako u edukaciji i zdravstvenom prosvjećivanju pučanstva (sudjelovanje na javnim tribinama, istupi u medijima, kreiranje i distribucija edukativnih letaka i plakata). Djelatnici službe imali su više zapaženih medijskih istupa u cilju boljeg informiranja i edukacije javnosti vezano uz COVID-19 pandemiju, ali i druge teme vezane u područje rada SKM-a (rezistencija na antibiotike, mikrobiota ljudskog organizma, HPV test kao primarni test probira karcinoma vrata maternice, itd.).</w:t>
      </w:r>
    </w:p>
    <w:p w14:paraId="603C21A7">
      <w:r>
        <w:t xml:space="preserve">Djelatnici SKM-a se pored stručne i edukativne uloge bave i znanstvenom djelatnošću, što je vidljivo kroz brojne zapažene publikacije objavljene od strane djelatnika službe u relevantnim medicinskim časopisima s visokim faktorom odjeka te u doktorskim radovima članova službe koji su obranjeni ili u procesu obrane ili prijave. </w:t>
      </w:r>
    </w:p>
    <w:p w14:paraId="3B76A80A">
      <w:r>
        <w:t>Služba je akreditirana po normi ISO HR EN ISO 15189 za odabrana ispitivanja iz područja Kliničke mikrobiologije, a 2016. joj je dodijeljen naziv „Referentni centar za dijagnostiku spolno-prenosivih infekcija“ od strane Ministarstva zdravstva RH (voditeljica: prof. dr. sc. Jasmina Vraneš). Referentni centar svake godine organizira stručne i znanstvene skupove u okviru svoje djelatnosti te sudjeluje u brojnim inozemnim i domaćim skupovima koje organiziraju stručna društva čije je područje djelovanja klinička mikrobiologija i infektologija te spolno-prenosive bolesti.</w:t>
      </w:r>
    </w:p>
    <w:p w14:paraId="60D48919"/>
    <w:p w14:paraId="6502BDD2">
      <w:pPr>
        <w:pStyle w:val="147"/>
      </w:pPr>
      <w:r>
        <w:t>Program rada</w:t>
      </w:r>
    </w:p>
    <w:p w14:paraId="3539065E">
      <w:pPr>
        <w:numPr>
          <w:ilvl w:val="0"/>
          <w:numId w:val="6"/>
        </w:numPr>
      </w:pPr>
      <w:r>
        <w:t>klinička mikrobiološka dijagnostika</w:t>
      </w:r>
    </w:p>
    <w:p w14:paraId="67B61F42">
      <w:pPr>
        <w:numPr>
          <w:ilvl w:val="0"/>
          <w:numId w:val="6"/>
        </w:numPr>
      </w:pPr>
      <w:r>
        <w:t>proizvodnja mikrobioloških podloga</w:t>
      </w:r>
    </w:p>
    <w:p w14:paraId="50DA2262">
      <w:pPr>
        <w:numPr>
          <w:ilvl w:val="0"/>
          <w:numId w:val="6"/>
        </w:numPr>
      </w:pPr>
      <w:r>
        <w:t>mikrobiološki nadzor u okviru sanitarnog nadzora</w:t>
      </w:r>
    </w:p>
    <w:p w14:paraId="5B65E9A9">
      <w:pPr>
        <w:numPr>
          <w:ilvl w:val="0"/>
          <w:numId w:val="6"/>
        </w:numPr>
      </w:pPr>
      <w:r>
        <w:t>nadzor postupka sterilizacije za vanjske korisnike</w:t>
      </w:r>
    </w:p>
    <w:p w14:paraId="6FC1CCFC">
      <w:pPr>
        <w:numPr>
          <w:ilvl w:val="0"/>
          <w:numId w:val="6"/>
        </w:numPr>
      </w:pPr>
      <w:r>
        <w:t>provedba preventivnih programa i znanstvenih istraživanja.</w:t>
      </w:r>
    </w:p>
    <w:p w14:paraId="78E1E285"/>
    <w:p w14:paraId="0CBBF5A4">
      <w:pPr>
        <w:rPr>
          <w:i/>
        </w:rPr>
      </w:pPr>
      <w:r>
        <w:rPr>
          <w:i/>
        </w:rPr>
        <w:t>Planirani prihodi u 2025. po izvorima:</w:t>
      </w:r>
    </w:p>
    <w:p w14:paraId="21CB48A8">
      <w:r>
        <w:t>Prihodi od HZZO-a na temelju ugovornih obveza i prihodi od participacija:</w:t>
      </w:r>
    </w:p>
    <w:p w14:paraId="0EAF11BA">
      <w:pPr>
        <w:numPr>
          <w:ilvl w:val="0"/>
          <w:numId w:val="7"/>
        </w:numPr>
      </w:pPr>
      <w:r>
        <w:t>budući da su limiti povećani tijekom 2024. godine za 38,15%, očekuje se prihod u iznosu oko 3.000.000 eura (2.760.333,38 EUR iznosi novi maksimalni godišnji limit)</w:t>
      </w:r>
    </w:p>
    <w:p w14:paraId="6D47C4FD">
      <w:r>
        <w:t>Prihodi od pružanja usluga na tržištu (u okviru sanitarnog nadzora i provođenja drugih mikrobioloških usluga na tržištu):</w:t>
      </w:r>
    </w:p>
    <w:p w14:paraId="755D157E">
      <w:pPr>
        <w:numPr>
          <w:ilvl w:val="0"/>
          <w:numId w:val="8"/>
        </w:numPr>
      </w:pPr>
      <w:r>
        <w:t>budući da su cijene sanitarnog nadzora snižene uz zadržan sličan broj uzoraka kao u 2024. godini, planira se prihod na temelju mikrobiološke dijagnostike na tržištu niži od prošle godine, u iznosu oko 1.200.000 eura.</w:t>
      </w:r>
    </w:p>
    <w:p w14:paraId="653C002F"/>
    <w:p w14:paraId="23019A02">
      <w:pPr>
        <w:pStyle w:val="147"/>
      </w:pPr>
      <w:r>
        <w:t>Zakonska podloga na kojoj se zasniva program rada Službe</w:t>
      </w:r>
    </w:p>
    <w:p w14:paraId="0F7E0C0E">
      <w:pPr>
        <w:numPr>
          <w:ilvl w:val="0"/>
          <w:numId w:val="9"/>
        </w:numPr>
      </w:pPr>
      <w:r>
        <w:t>Zakon o zdravstvenoj zaštiti (NN 150/08, 71/10, 139/10, 22/11, 84/11, 154/11, 12/12, 35/12, 70/12, 144/12 i 84/13)</w:t>
      </w:r>
    </w:p>
    <w:p w14:paraId="71A139F1">
      <w:pPr>
        <w:numPr>
          <w:ilvl w:val="0"/>
          <w:numId w:val="9"/>
        </w:numPr>
      </w:pPr>
      <w:r>
        <w:t>Zakon o zaštiti pučanstva od zaraznih bolesti (NN 79/07 i 113/08)</w:t>
      </w:r>
    </w:p>
    <w:p w14:paraId="5138CFFB">
      <w:pPr>
        <w:numPr>
          <w:ilvl w:val="0"/>
          <w:numId w:val="9"/>
        </w:numPr>
        <w:rPr>
          <w:spacing w:val="-8"/>
        </w:rPr>
      </w:pPr>
      <w:r>
        <w:rPr>
          <w:spacing w:val="-8"/>
        </w:rPr>
        <w:t>Zakon o izmjenama i dopunama Zakona o zaštiti pučanstva od zaraznih bolesti (NN 130/17)</w:t>
      </w:r>
    </w:p>
    <w:p w14:paraId="0489D9ED">
      <w:pPr>
        <w:numPr>
          <w:ilvl w:val="0"/>
          <w:numId w:val="9"/>
        </w:numPr>
      </w:pPr>
      <w:r>
        <w:t>Pravilnik o načinu obavljanja zdravstvenih pregleda osoba pod zdravstvenim nadzorom (NN 116/18).</w:t>
      </w:r>
    </w:p>
    <w:p w14:paraId="0E8BDA61">
      <w:pPr>
        <w:pStyle w:val="147"/>
      </w:pPr>
      <w:r>
        <w:t xml:space="preserve">Izvještaj o postignutim ciljevima i rezultatima temeljenim na pokazateljima uspješnosti u prethodnoj godini </w:t>
      </w:r>
    </w:p>
    <w:p w14:paraId="264580B3">
      <w:r>
        <w:t>U 2024. godini u Službi za kliničku mikrobiologiju biti će napravljeno ukupno približno 278.000 pretraga, od čega 202.000 pretraga u procesu mikrobiološke obrade različitih kliničkih uzoraka, a oko 80.000 pretraga u okviru sanitarnog pregleda (zdravstveni listovi- preventivni zakonom propisani pregledi).</w:t>
      </w:r>
    </w:p>
    <w:p w14:paraId="5367151D">
      <w:r>
        <w:t>U 2024. godini ukupno će u Službi biti proizvedeno oko 9.100 litara različitih vrsta mikrobioloških podloga. Od toga 73% proizvodnje biti će za vlastite potrebe dok će za Službu za zaštitu okoliša i zdravstvenu ekologiju biti priređeno ostatak podloga.</w:t>
      </w:r>
    </w:p>
    <w:p w14:paraId="34A1DB51">
      <w:pPr>
        <w:spacing w:after="0"/>
      </w:pPr>
      <w:r>
        <w:t>Usluga nadzora postupka sterilizacije metodom bioloških spora u 2024. godini biti će provedena ukupno oko 1.100 puta (aproksimacija za 12 mjeseci je napravljena na temelju realiziranog u 11 mjeseci).</w:t>
      </w:r>
    </w:p>
    <w:p w14:paraId="388BC125">
      <w:pPr>
        <w:spacing w:after="0"/>
        <w:rPr>
          <w:sz w:val="24"/>
          <w:szCs w:val="20"/>
        </w:rPr>
      </w:pPr>
    </w:p>
    <w:p w14:paraId="7BB463AF">
      <w:pPr>
        <w:pStyle w:val="147"/>
        <w:spacing w:after="0"/>
        <w:rPr>
          <w:rFonts w:eastAsia="MS Mincho"/>
          <w:lang w:eastAsia="ja-JP"/>
        </w:rPr>
      </w:pPr>
      <w:r>
        <w:rPr>
          <w:rFonts w:eastAsia="MS Mincho"/>
          <w:lang w:eastAsia="ja-JP"/>
        </w:rPr>
        <w:t>Naturalni pokazatelji i predviđanje za sljedeću godinu</w:t>
      </w:r>
    </w:p>
    <w:p w14:paraId="6EDF3163">
      <w:pPr>
        <w:spacing w:before="40" w:after="0"/>
        <w:rPr>
          <w:rFonts w:cstheme="minorHAnsi"/>
          <w:color w:val="333F50" w:themeColor="text2" w:themeShade="BF"/>
          <w:sz w:val="24"/>
          <w:szCs w:val="20"/>
        </w:rPr>
      </w:pPr>
    </w:p>
    <w:p w14:paraId="52612AEE">
      <w:pPr>
        <w:spacing w:before="40" w:after="40"/>
        <w:rPr>
          <w:i/>
          <w:iCs/>
        </w:rPr>
      </w:pPr>
      <w:r>
        <w:rPr>
          <w:rFonts w:cstheme="minorHAnsi"/>
          <w:i/>
          <w:iCs/>
          <w:color w:val="333F50" w:themeColor="text2" w:themeShade="BF"/>
        </w:rPr>
        <w:t>Tablica – Usporedba izvršenih pretraga u 2024. i predviđanje za 2025. godinu</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3201"/>
        <w:gridCol w:w="962"/>
        <w:gridCol w:w="962"/>
        <w:gridCol w:w="962"/>
      </w:tblGrid>
      <w:tr w14:paraId="0116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46" w:type="pct"/>
            <w:gridSpan w:val="2"/>
            <w:tcBorders>
              <w:bottom w:val="double" w:color="auto" w:sz="4" w:space="0"/>
            </w:tcBorders>
            <w:shd w:val="clear" w:color="auto" w:fill="auto"/>
            <w:vAlign w:val="center"/>
          </w:tcPr>
          <w:p w14:paraId="41E734DD">
            <w:pPr>
              <w:pStyle w:val="150"/>
              <w:jc w:val="left"/>
              <w:rPr>
                <w:i/>
                <w:iCs w:val="0"/>
              </w:rPr>
            </w:pPr>
            <w:r>
              <w:rPr>
                <w:i/>
                <w:iCs w:val="0"/>
              </w:rPr>
              <w:t>Broj pretraga po odjelima Službe za kliničku mikrobiologiju</w:t>
            </w:r>
          </w:p>
        </w:tc>
        <w:tc>
          <w:tcPr>
            <w:tcW w:w="518" w:type="pct"/>
            <w:tcBorders>
              <w:bottom w:val="double" w:color="auto" w:sz="4" w:space="0"/>
            </w:tcBorders>
            <w:vAlign w:val="center"/>
          </w:tcPr>
          <w:p w14:paraId="5DE3CFD6">
            <w:pPr>
              <w:pStyle w:val="150"/>
              <w:rPr>
                <w:i/>
                <w:iCs w:val="0"/>
              </w:rPr>
            </w:pPr>
            <w:r>
              <w:rPr>
                <w:i/>
                <w:iCs w:val="0"/>
              </w:rPr>
              <w:t>2023.</w:t>
            </w:r>
          </w:p>
        </w:tc>
        <w:tc>
          <w:tcPr>
            <w:tcW w:w="518" w:type="pct"/>
            <w:tcBorders>
              <w:bottom w:val="double" w:color="auto" w:sz="4" w:space="0"/>
            </w:tcBorders>
            <w:shd w:val="clear" w:color="auto" w:fill="auto"/>
            <w:vAlign w:val="center"/>
          </w:tcPr>
          <w:p w14:paraId="07A91E83">
            <w:pPr>
              <w:pStyle w:val="150"/>
              <w:rPr>
                <w:i/>
                <w:iCs w:val="0"/>
              </w:rPr>
            </w:pPr>
            <w:r>
              <w:rPr>
                <w:i/>
                <w:iCs w:val="0"/>
              </w:rPr>
              <w:t>2024.</w:t>
            </w:r>
          </w:p>
        </w:tc>
        <w:tc>
          <w:tcPr>
            <w:tcW w:w="518" w:type="pct"/>
            <w:tcBorders>
              <w:bottom w:val="double" w:color="auto" w:sz="4" w:space="0"/>
            </w:tcBorders>
            <w:shd w:val="clear" w:color="auto" w:fill="auto"/>
            <w:vAlign w:val="center"/>
          </w:tcPr>
          <w:p w14:paraId="7E042BED">
            <w:pPr>
              <w:pStyle w:val="150"/>
              <w:rPr>
                <w:i/>
                <w:iCs w:val="0"/>
              </w:rPr>
            </w:pPr>
            <w:r>
              <w:rPr>
                <w:i/>
                <w:iCs w:val="0"/>
              </w:rPr>
              <w:t>2025.</w:t>
            </w:r>
          </w:p>
        </w:tc>
      </w:tr>
      <w:tr w14:paraId="6FCB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tcBorders>
              <w:top w:val="double" w:color="auto" w:sz="4" w:space="0"/>
            </w:tcBorders>
            <w:shd w:val="clear" w:color="auto" w:fill="auto"/>
            <w:vAlign w:val="center"/>
          </w:tcPr>
          <w:p w14:paraId="49E1EC4F">
            <w:pPr>
              <w:pStyle w:val="150"/>
              <w:jc w:val="left"/>
              <w:rPr>
                <w:i/>
              </w:rPr>
            </w:pPr>
            <w:r>
              <w:rPr>
                <w:i/>
              </w:rPr>
              <w:t>Odjel za vanjske korisnike (sanitarni nadzor stolice – tržište)</w:t>
            </w:r>
          </w:p>
        </w:tc>
        <w:tc>
          <w:tcPr>
            <w:tcW w:w="518" w:type="pct"/>
            <w:tcBorders>
              <w:top w:val="double" w:color="auto" w:sz="4" w:space="0"/>
            </w:tcBorders>
            <w:vAlign w:val="center"/>
          </w:tcPr>
          <w:p w14:paraId="7B3361F9">
            <w:pPr>
              <w:pStyle w:val="150"/>
            </w:pPr>
            <w:r>
              <w:t>76.000</w:t>
            </w:r>
          </w:p>
        </w:tc>
        <w:tc>
          <w:tcPr>
            <w:tcW w:w="518" w:type="pct"/>
            <w:tcBorders>
              <w:top w:val="double" w:color="auto" w:sz="4" w:space="0"/>
            </w:tcBorders>
            <w:shd w:val="clear" w:color="auto" w:fill="auto"/>
            <w:vAlign w:val="center"/>
          </w:tcPr>
          <w:p w14:paraId="7D427980">
            <w:pPr>
              <w:pStyle w:val="150"/>
            </w:pPr>
            <w:r>
              <w:t>80.000</w:t>
            </w:r>
          </w:p>
        </w:tc>
        <w:tc>
          <w:tcPr>
            <w:tcW w:w="518" w:type="pct"/>
            <w:tcBorders>
              <w:top w:val="double" w:color="auto" w:sz="4" w:space="0"/>
            </w:tcBorders>
            <w:shd w:val="clear" w:color="auto" w:fill="auto"/>
          </w:tcPr>
          <w:p w14:paraId="7A3C2100">
            <w:pPr>
              <w:pStyle w:val="150"/>
            </w:pPr>
            <w:r>
              <w:t>90.000</w:t>
            </w:r>
          </w:p>
        </w:tc>
      </w:tr>
      <w:tr w14:paraId="78A1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shd w:val="clear" w:color="auto" w:fill="auto"/>
            <w:vAlign w:val="center"/>
          </w:tcPr>
          <w:p w14:paraId="5AD07515">
            <w:pPr>
              <w:pStyle w:val="150"/>
              <w:jc w:val="left"/>
            </w:pPr>
            <w:r>
              <w:t>Odjel za infekcije mokraćno-spolnog sustava</w:t>
            </w:r>
          </w:p>
        </w:tc>
        <w:tc>
          <w:tcPr>
            <w:tcW w:w="518" w:type="pct"/>
            <w:vAlign w:val="center"/>
          </w:tcPr>
          <w:p w14:paraId="0A2890A8">
            <w:pPr>
              <w:pStyle w:val="150"/>
            </w:pPr>
            <w:r>
              <w:t>76.000</w:t>
            </w:r>
          </w:p>
        </w:tc>
        <w:tc>
          <w:tcPr>
            <w:tcW w:w="518" w:type="pct"/>
            <w:shd w:val="clear" w:color="auto" w:fill="auto"/>
            <w:vAlign w:val="center"/>
          </w:tcPr>
          <w:p w14:paraId="51423155">
            <w:pPr>
              <w:pStyle w:val="150"/>
            </w:pPr>
            <w:r>
              <w:t>78.000</w:t>
            </w:r>
          </w:p>
        </w:tc>
        <w:tc>
          <w:tcPr>
            <w:tcW w:w="518" w:type="pct"/>
            <w:shd w:val="clear" w:color="auto" w:fill="auto"/>
          </w:tcPr>
          <w:p w14:paraId="736B5B79">
            <w:pPr>
              <w:pStyle w:val="150"/>
            </w:pPr>
            <w:r>
              <w:t>78.000</w:t>
            </w:r>
          </w:p>
        </w:tc>
      </w:tr>
      <w:tr w14:paraId="414F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shd w:val="clear" w:color="auto" w:fill="auto"/>
            <w:vAlign w:val="center"/>
          </w:tcPr>
          <w:p w14:paraId="59CB305E">
            <w:pPr>
              <w:pStyle w:val="150"/>
              <w:jc w:val="left"/>
            </w:pPr>
            <w:r>
              <w:t>Odjel za infekcije dišnog sustava</w:t>
            </w:r>
          </w:p>
        </w:tc>
        <w:tc>
          <w:tcPr>
            <w:tcW w:w="518" w:type="pct"/>
            <w:vAlign w:val="center"/>
          </w:tcPr>
          <w:p w14:paraId="630B77F6">
            <w:pPr>
              <w:pStyle w:val="150"/>
            </w:pPr>
            <w:r>
              <w:t>20.000</w:t>
            </w:r>
          </w:p>
        </w:tc>
        <w:tc>
          <w:tcPr>
            <w:tcW w:w="518" w:type="pct"/>
            <w:shd w:val="clear" w:color="auto" w:fill="auto"/>
            <w:vAlign w:val="center"/>
          </w:tcPr>
          <w:p w14:paraId="4A061533">
            <w:pPr>
              <w:pStyle w:val="150"/>
            </w:pPr>
            <w:r>
              <w:t>15.000</w:t>
            </w:r>
          </w:p>
        </w:tc>
        <w:tc>
          <w:tcPr>
            <w:tcW w:w="518" w:type="pct"/>
            <w:shd w:val="clear" w:color="auto" w:fill="auto"/>
          </w:tcPr>
          <w:p w14:paraId="66681087">
            <w:pPr>
              <w:pStyle w:val="150"/>
            </w:pPr>
            <w:r>
              <w:t>15.000</w:t>
            </w:r>
          </w:p>
        </w:tc>
      </w:tr>
      <w:tr w14:paraId="4743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shd w:val="clear" w:color="auto" w:fill="auto"/>
            <w:vAlign w:val="center"/>
          </w:tcPr>
          <w:p w14:paraId="0F69AD55">
            <w:pPr>
              <w:pStyle w:val="150"/>
              <w:jc w:val="left"/>
            </w:pPr>
            <w:r>
              <w:t>Odjel za spolno-prenosive, krvlju-prenosive i sustavne infekcije</w:t>
            </w:r>
          </w:p>
        </w:tc>
        <w:tc>
          <w:tcPr>
            <w:tcW w:w="518" w:type="pct"/>
            <w:vAlign w:val="center"/>
          </w:tcPr>
          <w:p w14:paraId="642B4049">
            <w:pPr>
              <w:pStyle w:val="150"/>
            </w:pPr>
            <w:r>
              <w:t>40.000</w:t>
            </w:r>
          </w:p>
        </w:tc>
        <w:tc>
          <w:tcPr>
            <w:tcW w:w="518" w:type="pct"/>
            <w:shd w:val="clear" w:color="auto" w:fill="auto"/>
            <w:vAlign w:val="center"/>
          </w:tcPr>
          <w:p w14:paraId="6A4E2960">
            <w:pPr>
              <w:pStyle w:val="150"/>
            </w:pPr>
            <w:r>
              <w:t>45.000</w:t>
            </w:r>
          </w:p>
        </w:tc>
        <w:tc>
          <w:tcPr>
            <w:tcW w:w="518" w:type="pct"/>
            <w:shd w:val="clear" w:color="auto" w:fill="auto"/>
          </w:tcPr>
          <w:p w14:paraId="5396478D">
            <w:pPr>
              <w:pStyle w:val="150"/>
            </w:pPr>
            <w:r>
              <w:t>45.000</w:t>
            </w:r>
          </w:p>
        </w:tc>
      </w:tr>
      <w:tr w14:paraId="74E3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shd w:val="clear" w:color="auto" w:fill="auto"/>
            <w:vAlign w:val="center"/>
          </w:tcPr>
          <w:p w14:paraId="11090358">
            <w:pPr>
              <w:pStyle w:val="150"/>
              <w:jc w:val="left"/>
            </w:pPr>
            <w:r>
              <w:t>Odjel za molekularnu mikrobiologiju</w:t>
            </w:r>
          </w:p>
        </w:tc>
        <w:tc>
          <w:tcPr>
            <w:tcW w:w="518" w:type="pct"/>
            <w:vAlign w:val="center"/>
          </w:tcPr>
          <w:p w14:paraId="21D21293">
            <w:pPr>
              <w:pStyle w:val="150"/>
            </w:pPr>
            <w:r>
              <w:t>30.000</w:t>
            </w:r>
          </w:p>
        </w:tc>
        <w:tc>
          <w:tcPr>
            <w:tcW w:w="518" w:type="pct"/>
            <w:shd w:val="clear" w:color="auto" w:fill="auto"/>
            <w:vAlign w:val="center"/>
          </w:tcPr>
          <w:p w14:paraId="131F4F72">
            <w:pPr>
              <w:pStyle w:val="150"/>
            </w:pPr>
            <w:r>
              <w:t>26.000</w:t>
            </w:r>
          </w:p>
        </w:tc>
        <w:tc>
          <w:tcPr>
            <w:tcW w:w="518" w:type="pct"/>
            <w:shd w:val="clear" w:color="auto" w:fill="auto"/>
          </w:tcPr>
          <w:p w14:paraId="33378B2D">
            <w:pPr>
              <w:pStyle w:val="150"/>
            </w:pPr>
            <w:r>
              <w:t>26.000</w:t>
            </w:r>
          </w:p>
        </w:tc>
      </w:tr>
      <w:tr w14:paraId="6630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tcBorders>
              <w:bottom w:val="double" w:color="auto" w:sz="4" w:space="0"/>
            </w:tcBorders>
            <w:shd w:val="clear" w:color="auto" w:fill="auto"/>
            <w:vAlign w:val="center"/>
          </w:tcPr>
          <w:p w14:paraId="46148896">
            <w:pPr>
              <w:pStyle w:val="150"/>
              <w:jc w:val="left"/>
            </w:pPr>
            <w:r>
              <w:t>Odjel za infekcije probavnog sustava</w:t>
            </w:r>
          </w:p>
        </w:tc>
        <w:tc>
          <w:tcPr>
            <w:tcW w:w="518" w:type="pct"/>
            <w:tcBorders>
              <w:bottom w:val="double" w:color="auto" w:sz="4" w:space="0"/>
            </w:tcBorders>
            <w:vAlign w:val="center"/>
          </w:tcPr>
          <w:p w14:paraId="1CC8B07F">
            <w:pPr>
              <w:pStyle w:val="150"/>
            </w:pPr>
            <w:r>
              <w:t>33.000</w:t>
            </w:r>
          </w:p>
        </w:tc>
        <w:tc>
          <w:tcPr>
            <w:tcW w:w="518" w:type="pct"/>
            <w:tcBorders>
              <w:bottom w:val="double" w:color="auto" w:sz="4" w:space="0"/>
            </w:tcBorders>
            <w:shd w:val="clear" w:color="auto" w:fill="auto"/>
            <w:vAlign w:val="center"/>
          </w:tcPr>
          <w:p w14:paraId="5A27AEFC">
            <w:pPr>
              <w:pStyle w:val="150"/>
            </w:pPr>
            <w:r>
              <w:t>34.000</w:t>
            </w:r>
          </w:p>
        </w:tc>
        <w:tc>
          <w:tcPr>
            <w:tcW w:w="518" w:type="pct"/>
            <w:tcBorders>
              <w:bottom w:val="double" w:color="auto" w:sz="4" w:space="0"/>
            </w:tcBorders>
            <w:shd w:val="clear" w:color="auto" w:fill="auto"/>
          </w:tcPr>
          <w:p w14:paraId="3F70D1E3">
            <w:pPr>
              <w:pStyle w:val="150"/>
            </w:pPr>
            <w:r>
              <w:t>34.000</w:t>
            </w:r>
          </w:p>
        </w:tc>
      </w:tr>
      <w:tr w14:paraId="2268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46" w:type="pct"/>
            <w:gridSpan w:val="2"/>
            <w:tcBorders>
              <w:top w:val="double" w:color="auto" w:sz="4" w:space="0"/>
              <w:bottom w:val="double" w:color="auto" w:sz="4" w:space="0"/>
            </w:tcBorders>
            <w:shd w:val="clear" w:color="auto" w:fill="auto"/>
            <w:vAlign w:val="center"/>
          </w:tcPr>
          <w:p w14:paraId="79D756CA">
            <w:pPr>
              <w:pStyle w:val="150"/>
              <w:jc w:val="left"/>
              <w:rPr>
                <w:i/>
                <w:iCs w:val="0"/>
              </w:rPr>
            </w:pPr>
            <w:r>
              <w:rPr>
                <w:i/>
                <w:iCs w:val="0"/>
              </w:rPr>
              <w:t>Ukupno</w:t>
            </w:r>
          </w:p>
        </w:tc>
        <w:tc>
          <w:tcPr>
            <w:tcW w:w="518" w:type="pct"/>
            <w:tcBorders>
              <w:top w:val="double" w:color="auto" w:sz="4" w:space="0"/>
              <w:bottom w:val="double" w:color="auto" w:sz="4" w:space="0"/>
            </w:tcBorders>
            <w:vAlign w:val="center"/>
          </w:tcPr>
          <w:p w14:paraId="5529707A">
            <w:pPr>
              <w:pStyle w:val="150"/>
              <w:rPr>
                <w:i/>
                <w:iCs w:val="0"/>
              </w:rPr>
            </w:pPr>
            <w:r>
              <w:rPr>
                <w:i/>
                <w:iCs w:val="0"/>
              </w:rPr>
              <w:t>275.000</w:t>
            </w:r>
          </w:p>
        </w:tc>
        <w:tc>
          <w:tcPr>
            <w:tcW w:w="518" w:type="pct"/>
            <w:tcBorders>
              <w:top w:val="double" w:color="auto" w:sz="4" w:space="0"/>
              <w:bottom w:val="double" w:color="auto" w:sz="4" w:space="0"/>
            </w:tcBorders>
            <w:shd w:val="clear" w:color="auto" w:fill="auto"/>
            <w:vAlign w:val="center"/>
          </w:tcPr>
          <w:p w14:paraId="31CCE425">
            <w:pPr>
              <w:pStyle w:val="150"/>
              <w:rPr>
                <w:i/>
                <w:iCs w:val="0"/>
              </w:rPr>
            </w:pPr>
            <w:r>
              <w:rPr>
                <w:i/>
                <w:iCs w:val="0"/>
              </w:rPr>
              <w:t>278.000</w:t>
            </w:r>
          </w:p>
        </w:tc>
        <w:tc>
          <w:tcPr>
            <w:tcW w:w="518" w:type="pct"/>
            <w:tcBorders>
              <w:top w:val="double" w:color="auto" w:sz="4" w:space="0"/>
              <w:bottom w:val="double" w:color="auto" w:sz="4" w:space="0"/>
            </w:tcBorders>
            <w:shd w:val="clear" w:color="auto" w:fill="auto"/>
            <w:vAlign w:val="center"/>
          </w:tcPr>
          <w:p w14:paraId="1C592188">
            <w:pPr>
              <w:pStyle w:val="150"/>
              <w:rPr>
                <w:i/>
                <w:iCs w:val="0"/>
              </w:rPr>
            </w:pPr>
            <w:r>
              <w:rPr>
                <w:i/>
                <w:iCs w:val="0"/>
              </w:rPr>
              <w:t>288.000</w:t>
            </w:r>
          </w:p>
        </w:tc>
      </w:tr>
      <w:tr w14:paraId="28CA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46" w:type="pct"/>
            <w:gridSpan w:val="2"/>
            <w:tcBorders>
              <w:top w:val="double" w:color="auto" w:sz="4" w:space="0"/>
            </w:tcBorders>
            <w:shd w:val="clear" w:color="auto" w:fill="auto"/>
            <w:vAlign w:val="center"/>
          </w:tcPr>
          <w:p w14:paraId="0EB38F11">
            <w:pPr>
              <w:pStyle w:val="150"/>
              <w:jc w:val="left"/>
              <w:rPr>
                <w:i/>
                <w:iCs w:val="0"/>
              </w:rPr>
            </w:pPr>
            <w:r>
              <w:rPr>
                <w:i/>
                <w:iCs w:val="0"/>
              </w:rPr>
              <w:t>Proizvodnja podloga i kontrola sterilizacije za vanjske korisnike</w:t>
            </w:r>
          </w:p>
        </w:tc>
        <w:tc>
          <w:tcPr>
            <w:tcW w:w="518" w:type="pct"/>
            <w:tcBorders>
              <w:top w:val="double" w:color="auto" w:sz="4" w:space="0"/>
            </w:tcBorders>
            <w:vAlign w:val="center"/>
          </w:tcPr>
          <w:p w14:paraId="198449BB">
            <w:pPr>
              <w:pStyle w:val="150"/>
              <w:rPr>
                <w:i/>
                <w:iCs w:val="0"/>
              </w:rPr>
            </w:pPr>
          </w:p>
        </w:tc>
        <w:tc>
          <w:tcPr>
            <w:tcW w:w="518" w:type="pct"/>
            <w:tcBorders>
              <w:top w:val="double" w:color="auto" w:sz="4" w:space="0"/>
            </w:tcBorders>
            <w:shd w:val="clear" w:color="auto" w:fill="auto"/>
            <w:vAlign w:val="center"/>
          </w:tcPr>
          <w:p w14:paraId="030D5A83">
            <w:pPr>
              <w:pStyle w:val="150"/>
              <w:rPr>
                <w:i/>
                <w:iCs w:val="0"/>
              </w:rPr>
            </w:pPr>
          </w:p>
        </w:tc>
        <w:tc>
          <w:tcPr>
            <w:tcW w:w="518" w:type="pct"/>
            <w:tcBorders>
              <w:top w:val="double" w:color="auto" w:sz="4" w:space="0"/>
            </w:tcBorders>
            <w:shd w:val="clear" w:color="auto" w:fill="auto"/>
          </w:tcPr>
          <w:p w14:paraId="32560352">
            <w:pPr>
              <w:pStyle w:val="150"/>
              <w:rPr>
                <w:i/>
                <w:iCs w:val="0"/>
              </w:rPr>
            </w:pPr>
          </w:p>
        </w:tc>
      </w:tr>
      <w:tr w14:paraId="0AE7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23" w:type="pct"/>
            <w:vMerge w:val="restart"/>
            <w:shd w:val="clear" w:color="auto" w:fill="auto"/>
            <w:vAlign w:val="center"/>
          </w:tcPr>
          <w:p w14:paraId="241B8717">
            <w:pPr>
              <w:pStyle w:val="150"/>
              <w:jc w:val="left"/>
            </w:pPr>
            <w:r>
              <w:t>Odjel za mikrobiološke podloge i sterilizaciju</w:t>
            </w:r>
          </w:p>
        </w:tc>
        <w:tc>
          <w:tcPr>
            <w:tcW w:w="1723" w:type="pct"/>
            <w:shd w:val="clear" w:color="auto" w:fill="auto"/>
            <w:vAlign w:val="center"/>
          </w:tcPr>
          <w:p w14:paraId="6F860EB0">
            <w:pPr>
              <w:pStyle w:val="150"/>
              <w:jc w:val="left"/>
            </w:pPr>
            <w:r>
              <w:t>podloge (litre)</w:t>
            </w:r>
          </w:p>
        </w:tc>
        <w:tc>
          <w:tcPr>
            <w:tcW w:w="518" w:type="pct"/>
            <w:vAlign w:val="center"/>
          </w:tcPr>
          <w:p w14:paraId="04EE7518">
            <w:pPr>
              <w:pStyle w:val="150"/>
            </w:pPr>
            <w:r>
              <w:t>9.500</w:t>
            </w:r>
          </w:p>
        </w:tc>
        <w:tc>
          <w:tcPr>
            <w:tcW w:w="518" w:type="pct"/>
            <w:shd w:val="clear" w:color="auto" w:fill="auto"/>
            <w:vAlign w:val="center"/>
          </w:tcPr>
          <w:p w14:paraId="4B0ED6A3">
            <w:pPr>
              <w:pStyle w:val="150"/>
            </w:pPr>
            <w:r>
              <w:t>9.100</w:t>
            </w:r>
          </w:p>
        </w:tc>
        <w:tc>
          <w:tcPr>
            <w:tcW w:w="518" w:type="pct"/>
            <w:shd w:val="clear" w:color="auto" w:fill="auto"/>
          </w:tcPr>
          <w:p w14:paraId="134CF88B">
            <w:pPr>
              <w:pStyle w:val="150"/>
            </w:pPr>
            <w:r>
              <w:t>9.100</w:t>
            </w:r>
          </w:p>
        </w:tc>
      </w:tr>
      <w:tr w14:paraId="0E76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23" w:type="pct"/>
            <w:vMerge w:val="continue"/>
            <w:shd w:val="clear" w:color="auto" w:fill="auto"/>
            <w:vAlign w:val="center"/>
          </w:tcPr>
          <w:p w14:paraId="702818B1">
            <w:pPr>
              <w:pStyle w:val="150"/>
              <w:jc w:val="left"/>
            </w:pPr>
          </w:p>
        </w:tc>
        <w:tc>
          <w:tcPr>
            <w:tcW w:w="1723" w:type="pct"/>
            <w:shd w:val="clear" w:color="auto" w:fill="auto"/>
            <w:vAlign w:val="center"/>
          </w:tcPr>
          <w:p w14:paraId="758BC71F">
            <w:pPr>
              <w:pStyle w:val="150"/>
              <w:jc w:val="left"/>
            </w:pPr>
            <w:r>
              <w:t>spore</w:t>
            </w:r>
          </w:p>
        </w:tc>
        <w:tc>
          <w:tcPr>
            <w:tcW w:w="518" w:type="pct"/>
            <w:vAlign w:val="center"/>
          </w:tcPr>
          <w:p w14:paraId="0E62F304">
            <w:pPr>
              <w:pStyle w:val="150"/>
            </w:pPr>
            <w:r>
              <w:t>1.110</w:t>
            </w:r>
          </w:p>
        </w:tc>
        <w:tc>
          <w:tcPr>
            <w:tcW w:w="518" w:type="pct"/>
            <w:shd w:val="clear" w:color="auto" w:fill="auto"/>
            <w:vAlign w:val="center"/>
          </w:tcPr>
          <w:p w14:paraId="05119296">
            <w:pPr>
              <w:pStyle w:val="150"/>
            </w:pPr>
            <w:r>
              <w:t>1.100</w:t>
            </w:r>
          </w:p>
        </w:tc>
        <w:tc>
          <w:tcPr>
            <w:tcW w:w="518" w:type="pct"/>
            <w:shd w:val="clear" w:color="auto" w:fill="auto"/>
          </w:tcPr>
          <w:p w14:paraId="0E312577">
            <w:pPr>
              <w:pStyle w:val="150"/>
            </w:pPr>
            <w:r>
              <w:t>1.100</w:t>
            </w:r>
          </w:p>
        </w:tc>
      </w:tr>
    </w:tbl>
    <w:p w14:paraId="0368F633">
      <w:pPr>
        <w:spacing w:after="0"/>
        <w:rPr>
          <w:sz w:val="24"/>
          <w:szCs w:val="20"/>
        </w:rPr>
      </w:pPr>
    </w:p>
    <w:p w14:paraId="5A9138C8">
      <w:r>
        <w:t>Tablica pokazuje da je, kade se usporedi broj pretraga u 2023. godini i 2024. godina, ukupni broj pretraga sličan, što znači da se je broj pretraga nakon značajnog povećanja u 2023. sada ustalio na povećanim većim vrijednostima.</w:t>
      </w:r>
    </w:p>
    <w:p w14:paraId="772EFDCF">
      <w:pPr>
        <w:spacing w:after="0"/>
      </w:pPr>
      <w:r>
        <w:t>U sljedećoj godini se stoga predviđa zadržavanje broja pretraga na razini 2024. godine te i dalje samo lagani porast broja dijagnostičkih pretraga. Očekuje se da će se trend povećanja broja pretraga učinjenih u svrhu sanitarnog nadzora zadržati, pa će broj tih pretraga u 2025. biti veći (ali im je nova cijena manja).</w:t>
      </w:r>
      <w:r>
        <w:br w:type="page"/>
      </w:r>
    </w:p>
    <w:p w14:paraId="3E15B4AA"/>
    <w:p w14:paraId="3779FD97">
      <w:pPr>
        <w:pStyle w:val="2"/>
      </w:pPr>
      <w:bookmarkStart w:id="12" w:name="_Toc84862489"/>
      <w:bookmarkStart w:id="13" w:name="_Toc184821162"/>
      <w:bookmarkStart w:id="14" w:name="_Toc473726689"/>
      <w:r>
        <w:t>4. Služba za zdravstvenu ekologiju</w:t>
      </w:r>
      <w:bookmarkEnd w:id="12"/>
      <w:bookmarkEnd w:id="13"/>
      <w:bookmarkEnd w:id="14"/>
    </w:p>
    <w:p w14:paraId="5E024EF0"/>
    <w:p w14:paraId="7B8A0FF6">
      <w:pPr>
        <w:pStyle w:val="147"/>
      </w:pPr>
      <w:r>
        <w:t>SAŽETAK DJELOKRUGA RADA</w:t>
      </w:r>
    </w:p>
    <w:p w14:paraId="7A934135">
      <w:r>
        <w:t xml:space="preserve">Služba za zdravstvenu ekologiju Zavoda bavi se ispitivanjem zdravstvene ispravnosti i kvalitete svih vrsta voda, hrane, predmeta opće uporabe, briseva, zraka, buke, tla i otpada te vodonepropusnosti vodoopskrbnih građevina i kanalizacijskih sustava. U sklopu navedenih ispitivanja providi se čitav niz kemijskih, fizikalno-kemijskih, bioloških, ekotoksikoloških te mikrobioloških analiza koje su propisane važećim zakonskim aktima, a provode se u svrhu utvrđivanja, praćenja i unapređenja zdravlja građana i očuvanja okoliša. Osim ispitivanja koje se provode u okviru zakonskih propisa, u Službi se provode i istraživanja u okviru raznih projekata financiranih sredstvima Europske unije, ali i iz drugih izvora. Služba je osposobljena prema zahtjevima Norme HRN EN ISO/IEC 17025:2017 (ISO/IEC 17025:2017EN ISO/IEC 17025:2017) za ispitivanje hrane, hrane za životinje, vina, alkoholnih pića, predmeta opće uporabe, voda, mikrobiološke čistoće objekata, otpada, tla, muljeva, eluata, krutih oporabljenih goriva, zraka i građevnih proizvoda, uključujući i uzorkovanje hrane, voda, tla, muljeva, otpada, unutarnjeg zraka i krutih oporabljenih goriva, a certifikaciju provodi Hrvatska akreditacijska agencija, još od 2003. godine. Od tada pa nadalje, područje akreditacije se sustavno proširuje kako bi se zadovoljili strogi kriteriji u analizama okolišnih uzoraka te analizama vode i hrane, za potrebe službenih kontrola te za potrebe ostalih kupaca. Služba je opremljena sofisticiranom analitičkom opremom iz koje posebno izdvajamo spektrometar masa za analizu izotopnog omjera </w:t>
      </w:r>
      <w:r>
        <w:rPr>
          <w:vertAlign w:val="superscript"/>
        </w:rPr>
        <w:t>13</w:t>
      </w:r>
      <w:r>
        <w:t xml:space="preserve">C, </w:t>
      </w:r>
      <w:r>
        <w:rPr>
          <w:vertAlign w:val="superscript"/>
        </w:rPr>
        <w:t>15</w:t>
      </w:r>
      <w:r>
        <w:t xml:space="preserve">N, </w:t>
      </w:r>
      <w:r>
        <w:rPr>
          <w:vertAlign w:val="superscript"/>
        </w:rPr>
        <w:t>18</w:t>
      </w:r>
      <w:r>
        <w:t xml:space="preserve">O, </w:t>
      </w:r>
      <w:r>
        <w:rPr>
          <w:vertAlign w:val="superscript"/>
        </w:rPr>
        <w:t>34</w:t>
      </w:r>
      <w:r>
        <w:t xml:space="preserve">S, </w:t>
      </w:r>
      <w:r>
        <w:rPr>
          <w:vertAlign w:val="superscript"/>
        </w:rPr>
        <w:t>2</w:t>
      </w:r>
      <w:r>
        <w:t xml:space="preserve">H s periferijama: tekućinski kromatograf i elementarni analizator, analizator izotopnog omjera ugljika </w:t>
      </w:r>
      <w:r>
        <w:rPr>
          <w:vertAlign w:val="superscript"/>
        </w:rPr>
        <w:t>13</w:t>
      </w:r>
      <w:r>
        <w:t xml:space="preserve">C i </w:t>
      </w:r>
      <w:r>
        <w:rPr>
          <w:vertAlign w:val="superscript"/>
        </w:rPr>
        <w:t>12</w:t>
      </w:r>
      <w:r>
        <w:t xml:space="preserve">C izotopa. Osim navedenih instrumenata, Služba raspolaže s 4 HPLC-a, tri LC- MS/MS, DSA-TOF, 4 GC-MS, dva GC-MS/MS, dva GC-ECD, GC-FID, ICP-MS, ICP-OES, četiri IC, dva AAS, PCR, X-ray analizator, dva AOX, 1 TOC, UV/VIS spektrofotometri, </w:t>
      </w:r>
      <w:r>
        <w:rPr>
          <w:i/>
          <w:iCs/>
        </w:rPr>
        <w:t>Fluo-imager</w:t>
      </w:r>
      <w:r>
        <w:t>, IR, ELISA, PCR i dr.). Osim opreme, služba raspolaže i adekvatnim prostorima te stručnim osobljem.</w:t>
      </w:r>
    </w:p>
    <w:p w14:paraId="2B915D8F">
      <w:pPr>
        <w:rPr>
          <w:spacing w:val="-4"/>
        </w:rPr>
      </w:pPr>
      <w:r>
        <w:rPr>
          <w:spacing w:val="-4"/>
        </w:rPr>
        <w:t>U Službi je trenutno zaposleno 87 djelatnika/ca od kojih 78 na neodređeno vrijeme (49 djelatnika VSS, od toga jedan profesor, jedan primarijus, 17 doktora znanosti, dva magistra znanosti, pet djelatnika VŠS, 21 djelatnik SSS i tri NKV). Na određeno vrijeme zaposleno je osam djelatnika (četiri djelatnika kao zamjena za djelatnike koji su na porodiljnom dopustu u punom radnom vremenu, dva na pola radnog vremena zbog djelatnica koje koriste pravo rada na četiri sata, jedan umirovljenik na četiri sata i jedan djelatnik na određeno vrijeme) te jedna pripravnica (VŠS) koja se nalazi na porodiljnom dopustu.</w:t>
      </w:r>
    </w:p>
    <w:p w14:paraId="7E6A42A7">
      <w:r>
        <w:t>Na ključnoj analitičkoj opremi svake godine proširuje se opseg analitičkih parametara sukladno zahtjevima tržišta i zakonskim propisima. Tijekom 2024. godine, a sukladno planu proširenja analitičkih metoda, razvijene su nove metode za skupno određivanje mikotoksina te određivanje pirolizidinskih alkaloida (35 alkaloida) sukladno novoj Uredbi o kontaminantima 915/2023. Za svaki od analitičkih parametara provedena je validacija i izvršena procjena mjerne nesigurnosti, povedene su PT sheme u suradnji s FAPAS,-om (UK), svi rezultati udovoljili su zahtjevima PT sheme (Z-scor &lt; 2) te su metode svrstane u skupinu akreditiranih metoda u fleksibilnom području. Za svaki instrument osposobljena su dva do tri djelatnika kako bi oprema kontinuirano mogla biti u funkciji.</w:t>
      </w:r>
    </w:p>
    <w:p w14:paraId="47957C54">
      <w:r>
        <w:t>Tijekom 2024. godine odjeli su aktivno sudjelovali u provedbi državnih monitoringa koje provodimo u suradnji s Ministarstvom zdravstva, Ministarstvom poljoprivrede, Ministarstvom gospodarstva i održivog razvoja, Državnim inspektoratom (DIRH), Hrvatskim vodama, Gradskim uredom za socijalnu zaštitu, zdravstvo, branitelje i osobe s invaliditetom, Gradskim uredom za gospodarstvo, energetiku i zaštitu okoliša te Hrvatskom agencijom za poljoprivredu i hranu (HAPIH). Služba je podizvoditelj zavodima u RH u provođenju monitoringa voda za parametre koje oni ne analiziraju.</w:t>
      </w:r>
    </w:p>
    <w:p w14:paraId="4CCF7071">
      <w:pPr>
        <w:rPr>
          <w:spacing w:val="-2"/>
        </w:rPr>
      </w:pPr>
      <w:r>
        <w:rPr>
          <w:spacing w:val="-2"/>
        </w:rPr>
        <w:t>Nastavljene su aktivnosti provedbe započetih projekata koje smo aplicirali pri Hrvatskoj zakladi za znanost s partnerima (PBF, IMI, Agronomski i IRB) te projekt „GreenScape: Climate-proof landscape through renaturing urban areas, poziv Interreg Central Europe“. Tijekom godine je nastavljen rad na razvoju projektnih prijava od kojih su neke u pripremi.</w:t>
      </w:r>
    </w:p>
    <w:p w14:paraId="4900839E">
      <w:r>
        <w:t>Unutar Službe djeluju tri nacionalna referentna laboratorija (NRL): NRL za mikotoksine u hrani i hrani za životinje, NRL za biljne toksine i NRL za pesticide. Djelatnici navedenih NRL kontinuirano se stručno usavršavaju u Europskim referentnim laboratorijima (EURL) kako bi svoje znanje prenijeli svim ovlaštenim laboratorijima u RH. Edukacija djelatnika obavlja se o trošku Europske Unije, kao i provedbe PT shema. Djelatnici će i tijekom 2024. nastaviti sudjelovati na radionicama organiziranih od strane EURL-a, razvijati analitičke metode sukladno njihovim uputama te provoditi nadzor i edukaciju drugih službenih laboratorija u RH.</w:t>
      </w:r>
    </w:p>
    <w:p w14:paraId="1783F474">
      <w:r>
        <w:t>Ističemo i rad Referentnog centra za kemijske analize hrane Ministarstva zdravstva RH, čiji je cilj praćenje novih kontaminanata u hrane te razvoj analitičkih metoda za njihovu izolaciju i identifikaciju u svrhu davanja usluga nadležnim tijelima za provođenje monitoringa i drugih kontrola u svrhu zaštite zdravlja potrošača.</w:t>
      </w:r>
    </w:p>
    <w:p w14:paraId="2580FD47">
      <w:r>
        <w:t>Kontinuiranim usavršavanjem djelatnika te uvođenjem novih analitičkih metoda uz proširenje broja analitičkih parametara, prvenstveno pesticida i dalje smo vodeća ustanova za zdravstvenu ekologiju na području ispitivanja parametara iz okoliša, a kroz usluge Odjela za procjenu rizika dajemo i dodatnu vrijednost našim analizama gdje uz nesukladan uzorak kupac dobije i tumačenje o mogućim rizicima te utjecajima na zdravlje populacije koja će se koristiti bilo hranom ili predmetima opće uporabe koji nisu zadovoljili parametre zdravstvene ispravnosti.</w:t>
      </w:r>
    </w:p>
    <w:p w14:paraId="59B6B766">
      <w:pPr>
        <w:rPr>
          <w:spacing w:val="-2"/>
        </w:rPr>
      </w:pPr>
      <w:r>
        <w:rPr>
          <w:spacing w:val="-2"/>
        </w:rPr>
        <w:t xml:space="preserve">Služba je organizirala </w:t>
      </w:r>
      <w:r>
        <w:rPr>
          <w:i/>
          <w:iCs/>
          <w:spacing w:val="-2"/>
        </w:rPr>
        <w:t>5. međunarodni kongres o sigurnosti i kvaliteti hrane</w:t>
      </w:r>
      <w:r>
        <w:rPr>
          <w:spacing w:val="-2"/>
        </w:rPr>
        <w:t xml:space="preserve"> koji se održavao u Poreču u danoma od 6. do 09. 11. 2024. Na kongresu je sudjelovalo više od 200 sudionika, održane su tri radionice (radionica senzorike maslinovog ulja, radionica o procesnim faktorima u analizi pesticida i radionica senzorike meda). Održan je okrugli stol WHO na temu antimikrobne rezistencije te okrugli stol na temu smanjenja otpada od hrane i doniranja hrane. Osim sudionika iz Hrvatske, na kongresu su sudjelovali i sudionici iz Slovenije, Srbije, Italije, Njemačke, Mađarske, Nizozemske te Bosne i Hercegovine.</w:t>
      </w:r>
    </w:p>
    <w:p w14:paraId="244853F3">
      <w:pPr>
        <w:rPr>
          <w:bCs/>
        </w:rPr>
      </w:pPr>
    </w:p>
    <w:p w14:paraId="5C498E79">
      <w:pPr>
        <w:pStyle w:val="147"/>
      </w:pPr>
      <w:r>
        <w:t>PROGRAM RADA SLUŽBE</w:t>
      </w:r>
    </w:p>
    <w:p w14:paraId="0CEBAC8D">
      <w:pPr>
        <w:rPr>
          <w:bCs/>
          <w:spacing w:val="-2"/>
        </w:rPr>
      </w:pPr>
      <w:r>
        <w:rPr>
          <w:bCs/>
          <w:spacing w:val="-2"/>
        </w:rPr>
        <w:t>Tijekom 2024. godine u Službi je sukladno planu razvoja službe nabavljena nova analitičke oprema neophodna za rada i razvoja metoda u Službi. Nabavljen je uređaj za određivanje metala u okolišnim uzorcima ICP OES, GC-MS uređaj za određivanje BTX-a i ostalih lako hlapivih spojeva, TOC za analize tla i otpada, ELISA za određivanje pojedinačnih mikotoksina i alergena. U 2025. godini, planira se redoviti nadzor Hrvatske akreditacijske agencije, stoga se planira i proširenje analitičkih metoda za koje se očekuje da će biti od interesa našim kupcima i inspekcijskim službama, a sve kako bi povećali vidljivost Službe i zainteresirali više kupaca za naše usluge. U planu je zatražiti novo ovlaštenje za rad od strane Ministarstva poljoprivrede, šumarstava i ribarstava, za obavljanje službenih kontrola na području RH, a Referentni laboratoriji sukladno Pravilniku o radu, će i dalje nadzirati rad službenih laboratorija, organizirati edukacije te razvijati nove analitičke postupke prema naputcima Europskog referentnog laboratorija. U okviru Referentnog centra za kemijske analize hrane, planira se organiziranje edukacijskih tribina vezanih uz temu novih kontaminanta i mogućnostima njihovog otkrivanja te jačanje analitičkih znanja i sposobnosti djelatnika Službe. Kao i do sada, u Službi će se pratiti natječaji vezani uz projekte financirane iz EU i/ili drugih izvora te će se u tu svrhu prijavljivati projekti iz područja njezinog rada. Jedan od važnijih planova za 2025. godinu je uspostava sustava dobre proizvođačke prakse za područje lijekova i farmaceutskih pripravaka te ishođenje GMP certifikata i Proizvodne dozvole od strane HALMED-a.</w:t>
      </w:r>
    </w:p>
    <w:p w14:paraId="3A6628C9">
      <w:r>
        <w:rPr>
          <w:b/>
        </w:rPr>
        <w:br w:type="page"/>
      </w:r>
    </w:p>
    <w:p w14:paraId="3D2CE663">
      <w:pPr>
        <w:rPr>
          <w:b/>
        </w:rPr>
      </w:pPr>
      <w:r>
        <w:rPr>
          <w:b/>
        </w:rPr>
        <w:t>Odjel za zdravstvenu ispravnost i kvalitetu voda</w:t>
      </w:r>
    </w:p>
    <w:p w14:paraId="7E8F2ED1">
      <w:pPr>
        <w:rPr>
          <w:bCs/>
        </w:rPr>
      </w:pPr>
      <w:r>
        <w:rPr>
          <w:bCs/>
        </w:rPr>
        <w:t>Odjel za zdravstvenu ispravnost i kvalitetu voda akreditiran je sukladno međunarodnoj normi HRN EN ISO/IEC 17025 za ispitne laboratorije i to za uzorkovanje vode za ljudsku potrošnju, bazensku, otpadnu i podzemnu vodu, određene fizikalno-kemijske, kemijske i mikrobiološke pokazatelje u pitkoj, podzemnoj, površinskoj, otpadnoj vodi i vodi za kupanje te nepropusnost vodoopskrbnih i kanalizacijskih sustava.</w:t>
      </w:r>
    </w:p>
    <w:p w14:paraId="5603F35F">
      <w:pPr>
        <w:rPr>
          <w:bCs/>
        </w:rPr>
      </w:pPr>
      <w:r>
        <w:rPr>
          <w:bCs/>
        </w:rPr>
        <w:t>Planirani prihodi po izvorima:</w:t>
      </w:r>
    </w:p>
    <w:p w14:paraId="709C6FA1">
      <w:pPr>
        <w:pStyle w:val="52"/>
        <w:numPr>
          <w:ilvl w:val="0"/>
          <w:numId w:val="10"/>
        </w:numPr>
      </w:pPr>
      <w:r>
        <w:t>Monitoring vode za ljudsku potrošnju iz javnih vodoopskrbnih sustava Grada Zagreba i ispitivanje kakvoće vode za kupanje iz gradskih kupališta</w:t>
      </w:r>
    </w:p>
    <w:p w14:paraId="3C7377D0">
      <w:pPr>
        <w:pStyle w:val="52"/>
        <w:numPr>
          <w:ilvl w:val="0"/>
          <w:numId w:val="10"/>
        </w:numPr>
      </w:pPr>
      <w:r>
        <w:t>Monitoring radioaktivnih tvari u vodi za ljudsku potrošnju za Grad Zagreb</w:t>
      </w:r>
    </w:p>
    <w:p w14:paraId="34C83803">
      <w:pPr>
        <w:pStyle w:val="52"/>
        <w:numPr>
          <w:ilvl w:val="0"/>
          <w:numId w:val="10"/>
        </w:numPr>
      </w:pPr>
      <w:r>
        <w:t>Monitoring zdravstvene ispravnosti vode namijenjene za ljudsku potrošnju na javnim slavinama Grada Zagreba</w:t>
      </w:r>
    </w:p>
    <w:p w14:paraId="00198F94">
      <w:pPr>
        <w:pStyle w:val="52"/>
        <w:numPr>
          <w:ilvl w:val="0"/>
          <w:numId w:val="10"/>
        </w:numPr>
      </w:pPr>
      <w:r>
        <w:t>Monitoring voda za naručitelja HEP d.o.o.</w:t>
      </w:r>
    </w:p>
    <w:p w14:paraId="6FA5D4FD">
      <w:pPr>
        <w:pStyle w:val="52"/>
        <w:numPr>
          <w:ilvl w:val="0"/>
          <w:numId w:val="10"/>
        </w:numPr>
      </w:pPr>
      <w:r>
        <w:t>Monitoring podzemnih voda vodocrpilišta Grada Zagreba</w:t>
      </w:r>
    </w:p>
    <w:p w14:paraId="47E8DEE7">
      <w:pPr>
        <w:pStyle w:val="52"/>
        <w:numPr>
          <w:ilvl w:val="0"/>
          <w:numId w:val="10"/>
        </w:numPr>
      </w:pPr>
      <w:r>
        <w:t>ispitivanje otpadnih voda u podružnicama Zagrebačkog Holdinga</w:t>
      </w:r>
    </w:p>
    <w:p w14:paraId="4BBC283F">
      <w:pPr>
        <w:pStyle w:val="52"/>
        <w:numPr>
          <w:ilvl w:val="0"/>
          <w:numId w:val="10"/>
        </w:numPr>
      </w:pPr>
      <w:r>
        <w:t>ispitivanje bazenskih voda na području Grada Zagreba i u termalnim centrima u Republici Sloveniji</w:t>
      </w:r>
    </w:p>
    <w:p w14:paraId="0C60DB0C">
      <w:pPr>
        <w:pStyle w:val="52"/>
        <w:numPr>
          <w:ilvl w:val="0"/>
          <w:numId w:val="10"/>
        </w:numPr>
      </w:pPr>
      <w:r>
        <w:t>ispitivanje vode za ljudsku potrošnju u dječjim vrtićima, osnovnim školama i domovima za starije na području Grada Zagreba</w:t>
      </w:r>
    </w:p>
    <w:p w14:paraId="7AC00CE2">
      <w:pPr>
        <w:pStyle w:val="52"/>
        <w:numPr>
          <w:ilvl w:val="0"/>
          <w:numId w:val="10"/>
        </w:numPr>
      </w:pPr>
      <w:r>
        <w:t xml:space="preserve">usluge na tržištu – strateški partneri: </w:t>
      </w:r>
      <w:r>
        <w:rPr>
          <w:i/>
          <w:iCs/>
        </w:rPr>
        <w:t>Dukat, FINA, Vodoopskrba i odvodnja Zagreb, Vodoopskrba i odvodnja Zaprešić, VG vodoopskrba.</w:t>
      </w:r>
    </w:p>
    <w:p w14:paraId="34BB3CC7">
      <w:pPr>
        <w:rPr>
          <w:spacing w:val="-2"/>
        </w:rPr>
      </w:pPr>
      <w:r>
        <w:rPr>
          <w:spacing w:val="-2"/>
        </w:rPr>
        <w:t>Početkom 2023. godine na snagu je stupio novi Pravilnik o parametrima sukladnosti, metodama analize, monitoringu i planovima sigurnosti vode za ljudsku potrošnju te načinu vođenja registra pravnih osoba koje obavljaju djelatnost javne vodoopskrbe kojim se propisuje određivanje somatskih kolifaga i regulira ispitivanje Legionelle u vodi za ljudsku potrošnju. Metoda za određivanje somatskih kolifaga je postavljena i u primjeni.</w:t>
      </w:r>
    </w:p>
    <w:p w14:paraId="0E176FBE">
      <w:r>
        <w:t xml:space="preserve">U 2024. godini na snagu je stupio Pravilnik o kontroli parametara kućne vodoopskrbne mreže potrošača i drugih sustava od javnozdravstvenog značaja te planu i programu edukacije svih dionika (NN 43/24) kojim se uređuje način kontrole parametara kućne vodoopskrbne mreže prioritetnih objekta i drugih sustava od javnozdravstvenog značaja. Ovim Pravilnikom utvrđuje se razina kontaminacije sustava bakterijama roda </w:t>
      </w:r>
      <w:r>
        <w:rPr>
          <w:i/>
          <w:iCs/>
        </w:rPr>
        <w:t xml:space="preserve">Legionella </w:t>
      </w:r>
      <w:r>
        <w:t>i olovom te preventivne i korektivne mjere koje se trebaju poduzimati u slučaju pojave ili prekoračenja propisanih vrijednosti.</w:t>
      </w:r>
    </w:p>
    <w:p w14:paraId="34269082">
      <w:pPr>
        <w:rPr>
          <w:spacing w:val="-2"/>
        </w:rPr>
      </w:pPr>
      <w:r>
        <w:rPr>
          <w:spacing w:val="-2"/>
        </w:rPr>
        <w:t>Nadalje, važeća zakonska regulativa propisuje određivanje makrolidnih i sulfonamidnih antibiotika u površinskim i podzemnim vodama te u otpadnim vodama prema zahtjevima kupaca pa je potrebno uvesti navedene metode ispitivanja u pojedinim matriksima.</w:t>
      </w:r>
    </w:p>
    <w:p w14:paraId="4682A5D1">
      <w:r>
        <w:t xml:space="preserve">U sklopu Projekta </w:t>
      </w:r>
      <w:r>
        <w:rPr>
          <w:i/>
          <w:iCs/>
        </w:rPr>
        <w:t>Centar za sigurnost i kvalitetu hrane</w:t>
      </w:r>
      <w:r>
        <w:t xml:space="preserve"> u Odjelu je nabavljen ionski kromatograf na kojem će biti postavljene metode određivanja ionskog sastava prirodnih mineralnih i izvorskih voda.</w:t>
      </w:r>
    </w:p>
    <w:p w14:paraId="78E33BC1"/>
    <w:p w14:paraId="6DF0226F">
      <w:pPr>
        <w:rPr>
          <w:b/>
        </w:rPr>
      </w:pPr>
      <w:r>
        <w:rPr>
          <w:b/>
        </w:rPr>
        <w:t>Odjel za sigurnost i kvalitetu predmeta opće uporabe</w:t>
      </w:r>
    </w:p>
    <w:p w14:paraId="3065DFD5">
      <w:r>
        <w:t>Djelatnost Odjela za sigurnost i kvalitetu predmeta opće uporabe očituje se u analizama kvalitete i zdravstvene ispravnosti odnosno sigurnosti POU. POU obuhvaćaju široko područje proizvoda i materijala a prema Zakonu o predmetima opće uporabe (NN 39/13, 47/14, 114/18, 53/22) dijele se na:</w:t>
      </w:r>
    </w:p>
    <w:p w14:paraId="4F48AA3F">
      <w:pPr>
        <w:numPr>
          <w:ilvl w:val="0"/>
          <w:numId w:val="11"/>
        </w:numPr>
      </w:pPr>
      <w:r>
        <w:t>materijale i predmete koji dolaze u neposredan dodir s hranom (posuđe, pribori, oprema, uređaji i ambalaža)</w:t>
      </w:r>
    </w:p>
    <w:p w14:paraId="31B811BF">
      <w:pPr>
        <w:numPr>
          <w:ilvl w:val="0"/>
          <w:numId w:val="11"/>
        </w:numPr>
      </w:pPr>
      <w:r>
        <w:t>materijale i predmete koji dolaze u neposredan dodir s vodom za ljudsku potrošnju (spremnici, cijevi, zasuni, brtvila, slavine...)</w:t>
      </w:r>
    </w:p>
    <w:p w14:paraId="7D8DA493">
      <w:pPr>
        <w:numPr>
          <w:ilvl w:val="0"/>
          <w:numId w:val="11"/>
        </w:numPr>
      </w:pPr>
      <w:r>
        <w:t>predmete široke potrošnje koji obuhvaćaju:</w:t>
      </w:r>
    </w:p>
    <w:p w14:paraId="3DEF9396">
      <w:pPr>
        <w:numPr>
          <w:ilvl w:val="0"/>
          <w:numId w:val="11"/>
        </w:numPr>
      </w:pPr>
      <w:r>
        <w:t>kozmetičke proizvode i ambalažu za kozmetičke proizvode</w:t>
      </w:r>
    </w:p>
    <w:p w14:paraId="2AFDC8D2">
      <w:pPr>
        <w:numPr>
          <w:ilvl w:val="0"/>
          <w:numId w:val="11"/>
        </w:numPr>
      </w:pPr>
      <w:r>
        <w:t>dječje igračke</w:t>
      </w:r>
    </w:p>
    <w:p w14:paraId="650DE645">
      <w:pPr>
        <w:numPr>
          <w:ilvl w:val="0"/>
          <w:numId w:val="11"/>
        </w:numPr>
      </w:pPr>
      <w:r>
        <w:t xml:space="preserve">sredstva za održavanje čistoće u kućanstvu i industriji </w:t>
      </w:r>
    </w:p>
    <w:p w14:paraId="6147D7EE">
      <w:pPr>
        <w:numPr>
          <w:ilvl w:val="0"/>
          <w:numId w:val="11"/>
        </w:numPr>
      </w:pPr>
      <w:r>
        <w:t>duhan i duhanske prerađevine, e-tekućine i pribor za pušenje</w:t>
      </w:r>
    </w:p>
    <w:p w14:paraId="1C33B0C3">
      <w:pPr>
        <w:numPr>
          <w:ilvl w:val="0"/>
          <w:numId w:val="11"/>
        </w:numPr>
      </w:pPr>
      <w:r>
        <w:t>predmete koji pri uporabi dolaze u neposredan dodir s kožom i/ili sluznicom (tekstil, obuća, higijenski pribor, papir, pelene, higijenski ulošci)</w:t>
      </w:r>
    </w:p>
    <w:p w14:paraId="0610E084">
      <w:pPr>
        <w:numPr>
          <w:ilvl w:val="0"/>
          <w:numId w:val="11"/>
        </w:numPr>
      </w:pPr>
      <w:r>
        <w:t xml:space="preserve">nakit, </w:t>
      </w:r>
      <w:r>
        <w:rPr>
          <w:i/>
          <w:iCs/>
        </w:rPr>
        <w:t>tattoo</w:t>
      </w:r>
      <w:r>
        <w:t>-boje i naljepnice te permanentna šminka.</w:t>
      </w:r>
    </w:p>
    <w:p w14:paraId="208F7F5A">
      <w:r>
        <w:t>Svako područje POU praćeno je zasebnim zakonskim okvirima od kojih su neki doneseni na razini Europske unije (harmonizirano zakonodavstvo / Uredbe) a većina je još uvijek regulirana zakonodavstvom na nacionalnoj razini (Zakon, Pravilnici). U svrhu stalnog poboljšanja kvalitete rada i usluga prema korisnicima Odjel za sigurnost i kvalitetu predmeta opće uporabe ovlašten je od strane Ministarstva zdravstva za provođenje službenih kontrola i nadzora tržišta za područje POU. Odjel u sklopu Službe za zdravstvenu ekologiju akreditiran prema zahtjevima norme HRN EN ISO/IEC 17025. U primjeni je i veliki broj razvijenih neakreditiranih metoda koje prate najnovije zahtjeve zakonskih okvira EU komisije i nacionalnog zakonodavstva s ciljem daljnjeg proširenja područja akreditacije u suradnji s Odjelom za analitičke tehnike. Djelatnici Odjela za sigurnost i kvalitetu POU aktivno sudjeluju, kao ovlaštene osobe NZJZ-a „Dr. Andrija Štampar“, u Povjerenstvima i radnim skupinama Ministarstvom zdravstva, Hrvatskog zavoda za norme, i Državnog inspektorata (DIRH) u izradi novih zakonskih okvira (Zakona i Pravilnika) vezano za kontrolu i sigurnost POU.</w:t>
      </w:r>
    </w:p>
    <w:p w14:paraId="3C155C8A">
      <w:r>
        <w:t>Nadalje, djelokrug rada Odjela uključuje znanstveno istraživački rad kao i suradnju s različitim industrijskim institucijama u svrhu poboljšanja kvalitete i produljenja roka uporabe proizvoda odabirom sigurne ambalaže i uvjeta skladištenja.</w:t>
      </w:r>
    </w:p>
    <w:p w14:paraId="6B6DB034">
      <w:r>
        <w:t>Odjel je i nastavna baza za zdravstveno Veleučilište za studente sanitarnog smjera za područje POU. Na odjelu se svake godine izradi nekoliko završnih i diplomskih radova iz područja kvalitete i sigurnosti POU.</w:t>
      </w:r>
    </w:p>
    <w:p w14:paraId="7AD71BE2"/>
    <w:p w14:paraId="227D9C28">
      <w:pPr>
        <w:rPr>
          <w:i/>
          <w:iCs/>
        </w:rPr>
      </w:pPr>
      <w:r>
        <w:rPr>
          <w:i/>
          <w:iCs/>
        </w:rPr>
        <w:t>Realizirane aktivnosti Odjela u 2024. godini</w:t>
      </w:r>
    </w:p>
    <w:p w14:paraId="47DC7A1B">
      <w:pPr>
        <w:pStyle w:val="52"/>
        <w:numPr>
          <w:ilvl w:val="0"/>
          <w:numId w:val="12"/>
        </w:numPr>
      </w:pPr>
      <w:r>
        <w:t>provedeni su svi planirani monitorinzi u prometu s tržišta RH (dućani) u suradnji s DIRH-om (posuđe, dude varalice, dječje igračke, kozmetika, dječji baloni ) u vrijednosti cca 27.000 €</w:t>
      </w:r>
    </w:p>
    <w:p w14:paraId="704533E6">
      <w:pPr>
        <w:pStyle w:val="52"/>
        <w:numPr>
          <w:ilvl w:val="0"/>
          <w:numId w:val="12"/>
        </w:numPr>
      </w:pPr>
      <w:r>
        <w:t>proveden je projekt monitoringa tržišta GZ u suradnji s Gradskim uredom (20.000 €)</w:t>
      </w:r>
    </w:p>
    <w:p w14:paraId="29E4F372">
      <w:pPr>
        <w:pStyle w:val="52"/>
        <w:numPr>
          <w:ilvl w:val="0"/>
          <w:numId w:val="12"/>
        </w:numPr>
      </w:pPr>
      <w:r>
        <w:t xml:space="preserve">proveden je i završen razvojno-inovativni projekt sufinanciran od strane Ministarstva regionalnog razvoja i fondova EU u suradnji s hrvatskim proizvođačem kozmetičkih proizvoda </w:t>
      </w:r>
      <w:r>
        <w:rPr>
          <w:i/>
          <w:iCs/>
        </w:rPr>
        <w:t>Lively Roaster</w:t>
      </w:r>
      <w:r>
        <w:t xml:space="preserve"> u iznosu od 10.870 €</w:t>
      </w:r>
    </w:p>
    <w:p w14:paraId="4F5C1DAD">
      <w:pPr>
        <w:pStyle w:val="52"/>
        <w:numPr>
          <w:ilvl w:val="0"/>
          <w:numId w:val="12"/>
        </w:numPr>
        <w:rPr>
          <w:spacing w:val="-4"/>
        </w:rPr>
      </w:pPr>
      <w:r>
        <w:rPr>
          <w:spacing w:val="-4"/>
        </w:rPr>
        <w:t xml:space="preserve">u postupku uspostavljene suradnje i čekanja odobrenja od Ministarstva regionalnog razvoja i fondova EU nalaze se zahtjevi s proizvođačima kozmetičkih proizvoda: </w:t>
      </w:r>
      <w:r>
        <w:rPr>
          <w:i/>
          <w:iCs/>
          <w:spacing w:val="-4"/>
        </w:rPr>
        <w:t>Mediterra Herbal</w:t>
      </w:r>
      <w:r>
        <w:rPr>
          <w:spacing w:val="-4"/>
        </w:rPr>
        <w:t xml:space="preserve"> (13.700 €), </w:t>
      </w:r>
      <w:r>
        <w:rPr>
          <w:i/>
          <w:iCs/>
          <w:spacing w:val="-4"/>
        </w:rPr>
        <w:t>Mya skin by dr Kaliterna</w:t>
      </w:r>
      <w:r>
        <w:rPr>
          <w:spacing w:val="-4"/>
        </w:rPr>
        <w:t xml:space="preserve"> (5.750,00 €) i </w:t>
      </w:r>
      <w:r>
        <w:rPr>
          <w:i/>
          <w:iCs/>
          <w:spacing w:val="-4"/>
        </w:rPr>
        <w:t>Creaticon</w:t>
      </w:r>
      <w:r>
        <w:rPr>
          <w:spacing w:val="-4"/>
        </w:rPr>
        <w:t xml:space="preserve"> (14.000€)</w:t>
      </w:r>
    </w:p>
    <w:p w14:paraId="1BEB57B5">
      <w:pPr>
        <w:pStyle w:val="52"/>
        <w:numPr>
          <w:ilvl w:val="0"/>
          <w:numId w:val="12"/>
        </w:numPr>
      </w:pPr>
      <w:r>
        <w:t xml:space="preserve">u postupku je provođenje projekta </w:t>
      </w:r>
      <w:r>
        <w:rPr>
          <w:i/>
          <w:iCs/>
        </w:rPr>
        <w:t>Plavi ceker</w:t>
      </w:r>
      <w:r>
        <w:t xml:space="preserve"> Grada Zagreba za kontrolu kozmetičkih proizvoda s prirodnim sastojcima (mali OPG-ovci)</w:t>
      </w:r>
    </w:p>
    <w:p w14:paraId="2E9076C6">
      <w:pPr>
        <w:pStyle w:val="52"/>
        <w:numPr>
          <w:ilvl w:val="0"/>
          <w:numId w:val="12"/>
        </w:numPr>
      </w:pPr>
      <w:r>
        <w:t xml:space="preserve">u 2024. godini sudjelovali smo u izradi novog </w:t>
      </w:r>
      <w:r>
        <w:rPr>
          <w:i/>
        </w:rPr>
        <w:t>Pravilnika o parametrima zdravstvene ispravnosti predmeta široke potrošnje</w:t>
      </w:r>
    </w:p>
    <w:p w14:paraId="7729505C">
      <w:pPr>
        <w:pStyle w:val="52"/>
        <w:numPr>
          <w:ilvl w:val="0"/>
          <w:numId w:val="12"/>
        </w:numPr>
      </w:pPr>
      <w:r>
        <w:t xml:space="preserve">u 2024. godini u Odjelu za sigurnost i kvalitetu POU sklopljena su tri nova ugovora o poslovnoj suradnji s manjim i srednjim proizvođačima: </w:t>
      </w:r>
      <w:r>
        <w:rPr>
          <w:i/>
          <w:iCs/>
        </w:rPr>
        <w:t>Creaticon</w:t>
      </w:r>
      <w:r>
        <w:t xml:space="preserve"> d.o.o., </w:t>
      </w:r>
      <w:r>
        <w:rPr>
          <w:i/>
          <w:iCs/>
        </w:rPr>
        <w:t>SHP Zagreb</w:t>
      </w:r>
      <w:r>
        <w:t xml:space="preserve"> d.o.o. i </w:t>
      </w:r>
      <w:r>
        <w:rPr>
          <w:i/>
          <w:iCs/>
        </w:rPr>
        <w:t>Majur hotelski servis</w:t>
      </w:r>
      <w:r>
        <w:t xml:space="preserve"> d.o.o.</w:t>
      </w:r>
    </w:p>
    <w:p w14:paraId="06FCCFBD">
      <w:pPr>
        <w:pStyle w:val="52"/>
        <w:numPr>
          <w:ilvl w:val="0"/>
          <w:numId w:val="12"/>
        </w:numPr>
      </w:pPr>
      <w:r>
        <w:t>u 2024. godini ostvaren je značajno povećan broj uzoraka predmeta opće uporabe u odnosu na 2023. godinu</w:t>
      </w:r>
    </w:p>
    <w:p w14:paraId="2BBA31F2">
      <w:pPr>
        <w:pStyle w:val="52"/>
        <w:numPr>
          <w:ilvl w:val="0"/>
          <w:numId w:val="12"/>
        </w:numPr>
        <w:rPr>
          <w:spacing w:val="-4"/>
        </w:rPr>
      </w:pPr>
      <w:r>
        <w:rPr>
          <w:spacing w:val="-4"/>
        </w:rPr>
        <w:t>uvedene su nove analitičke metode: određivanje zapaljivosti u dječjim igračkama (nakon nabavke uređaja), određivanje perfluoroktanske kiseline u posuđu i određivanje 1,4 diklobenzena u POU prema zahtjevima Uredbe za kemikalije (</w:t>
      </w:r>
      <w:r>
        <w:rPr>
          <w:i/>
          <w:iCs/>
          <w:spacing w:val="-4"/>
        </w:rPr>
        <w:t>Reach</w:t>
      </w:r>
      <w:r>
        <w:rPr>
          <w:spacing w:val="-4"/>
        </w:rPr>
        <w:t>) što se je rezultiralo dostavom većeg broja uzoraka i od strane inspekcije i ugovornih suradnika</w:t>
      </w:r>
    </w:p>
    <w:p w14:paraId="211AD1CE">
      <w:pPr>
        <w:pStyle w:val="52"/>
        <w:numPr>
          <w:ilvl w:val="0"/>
          <w:numId w:val="12"/>
        </w:numPr>
      </w:pPr>
      <w:r>
        <w:t>djelatnici Odjela sudjelovali su u projektu Sajam zdravlja „Štampar u tvom kvartu“ realiziranog u suradnji Zavoda i Gradskog ureda.</w:t>
      </w:r>
    </w:p>
    <w:p w14:paraId="2DB7B671">
      <w:r>
        <w:br w:type="page"/>
      </w:r>
    </w:p>
    <w:p w14:paraId="0C60E7E8"/>
    <w:p w14:paraId="2C7C1BFE">
      <w:pPr>
        <w:rPr>
          <w:i/>
        </w:rPr>
      </w:pPr>
      <w:r>
        <w:rPr>
          <w:i/>
        </w:rPr>
        <w:t>Planirani prihodi po izvorima za 2025. godinu</w:t>
      </w:r>
    </w:p>
    <w:p w14:paraId="304A9D9D">
      <w:pPr>
        <w:numPr>
          <w:ilvl w:val="0"/>
          <w:numId w:val="13"/>
        </w:numPr>
      </w:pPr>
      <w:r>
        <w:t>provedba službenih kontrola prilikom uvoza POU u suradnji s Državnim inspektoratom (Granična sanitarna inspekcija)</w:t>
      </w:r>
    </w:p>
    <w:p w14:paraId="398D6EAC">
      <w:pPr>
        <w:numPr>
          <w:ilvl w:val="0"/>
          <w:numId w:val="13"/>
        </w:numPr>
        <w:rPr>
          <w:spacing w:val="-4"/>
        </w:rPr>
      </w:pPr>
      <w:r>
        <w:rPr>
          <w:spacing w:val="-4"/>
        </w:rPr>
        <w:t>monitoring POU u prometu na tržištu RH u suradnji s Državnim inspektoratom RH (DIRH)</w:t>
      </w:r>
    </w:p>
    <w:p w14:paraId="01DB7FC6">
      <w:pPr>
        <w:numPr>
          <w:ilvl w:val="0"/>
          <w:numId w:val="13"/>
        </w:numPr>
        <w:rPr>
          <w:spacing w:val="-8"/>
        </w:rPr>
      </w:pPr>
      <w:r>
        <w:rPr>
          <w:spacing w:val="-8"/>
        </w:rPr>
        <w:t>provedba monitoringa predmeta opće uporabe u suradnji s Gradskim uredom za zdravstvo</w:t>
      </w:r>
    </w:p>
    <w:p w14:paraId="5CC186C0">
      <w:pPr>
        <w:numPr>
          <w:ilvl w:val="0"/>
          <w:numId w:val="13"/>
        </w:numPr>
        <w:rPr>
          <w:spacing w:val="2"/>
        </w:rPr>
      </w:pPr>
      <w:r>
        <w:rPr>
          <w:spacing w:val="2"/>
        </w:rPr>
        <w:t xml:space="preserve">provedba projekta </w:t>
      </w:r>
      <w:r>
        <w:rPr>
          <w:i/>
          <w:iCs/>
          <w:spacing w:val="2"/>
        </w:rPr>
        <w:t>Plavi ceker</w:t>
      </w:r>
      <w:r>
        <w:rPr>
          <w:spacing w:val="2"/>
        </w:rPr>
        <w:t xml:space="preserve"> u suradnji s Gradskim uredom (kozmetika s prirodnim sastojcima)</w:t>
      </w:r>
    </w:p>
    <w:p w14:paraId="075B59F5">
      <w:pPr>
        <w:numPr>
          <w:ilvl w:val="0"/>
          <w:numId w:val="13"/>
        </w:numPr>
        <w:rPr>
          <w:spacing w:val="-8"/>
        </w:rPr>
      </w:pPr>
      <w:r>
        <w:rPr>
          <w:spacing w:val="-8"/>
        </w:rPr>
        <w:t>provedba razvojno-inovativnih projekata sufinanciranih od strane Ministarstva regionalnog razvoja i fondova EU u suradnji s hrvatskim proizvođačima kozmetičkih proizvoda</w:t>
      </w:r>
    </w:p>
    <w:p w14:paraId="5696CD31">
      <w:pPr>
        <w:numPr>
          <w:ilvl w:val="0"/>
          <w:numId w:val="13"/>
        </w:numPr>
      </w:pPr>
      <w:r>
        <w:t>nastavak pružanja usluga na tržištu – strateški partneri i ugovorni suradnici;</w:t>
      </w:r>
      <w:r>
        <w:rPr>
          <w:i/>
          <w:iCs/>
        </w:rPr>
        <w:t xml:space="preserve"> Metro Cash &amp; Carry Hrvatska, Zagrebačka pivovara, Konzum, Franck, Lidl Hrvatska, Spar Hrvatska, Dukat, Ledo, Kaufland, Coca Cola Violeta Grude, Creaticon, Mediterra, Violeta Hrvatska, Marina Lab opus, Meyer, Kenty, Vodoskok, Tetrapak, Lively Roasters, Vetropak straža</w:t>
      </w:r>
      <w:r>
        <w:t xml:space="preserve">, Dunapack, </w:t>
      </w:r>
      <w:r>
        <w:rPr>
          <w:i/>
          <w:iCs/>
        </w:rPr>
        <w:t>Eco papir</w:t>
      </w:r>
      <w:r>
        <w:t xml:space="preserve">, </w:t>
      </w:r>
      <w:r>
        <w:rPr>
          <w:i/>
          <w:iCs/>
        </w:rPr>
        <w:t>Milla kozmetika</w:t>
      </w:r>
      <w:r>
        <w:t xml:space="preserve">, Marines, </w:t>
      </w:r>
      <w:r>
        <w:rPr>
          <w:i/>
          <w:iCs/>
        </w:rPr>
        <w:t>SHP Zagreb</w:t>
      </w:r>
      <w:r>
        <w:t xml:space="preserve"> i drugi</w:t>
      </w:r>
    </w:p>
    <w:p w14:paraId="724AABB0">
      <w:pPr>
        <w:numPr>
          <w:ilvl w:val="0"/>
          <w:numId w:val="13"/>
        </w:numPr>
      </w:pPr>
      <w:r>
        <w:t>apliciranje na projekte prvenstveno iz područja materijala i predmeta koji dolaze u kontakt s hranom.</w:t>
      </w:r>
    </w:p>
    <w:p w14:paraId="4A9D78D1">
      <w:pPr>
        <w:rPr>
          <w:color w:val="000000" w:themeColor="text1"/>
          <w:spacing w:val="-4"/>
          <w14:textFill>
            <w14:solidFill>
              <w14:schemeClr w14:val="tx1"/>
            </w14:solidFill>
          </w14:textFill>
        </w:rPr>
      </w:pPr>
      <w:r>
        <w:rPr>
          <w:color w:val="000000" w:themeColor="text1"/>
          <w:spacing w:val="-4"/>
          <w14:textFill>
            <w14:solidFill>
              <w14:schemeClr w14:val="tx1"/>
            </w14:solidFill>
          </w14:textFill>
        </w:rPr>
        <w:t>Odjel u 2025. godini planira uz redovne aktivnosti proširiti i svoju uslužnu djelatnost prema zahtjevima novih zakonskih odredbi i zahtjevima tržišta i ugovorenih suradnika. Potrebe su to kako bi smo mogli pružati potpuniju ocjenu sukladnosti u našim izvještajima o ispitivanju te kako bi se smanjile potrebe za uslužnim analizama u vanjskim laboratorijima:</w:t>
      </w:r>
    </w:p>
    <w:p w14:paraId="58FF0631"/>
    <w:p w14:paraId="65186F0E">
      <w:pPr>
        <w:rPr>
          <w:i/>
          <w:iCs/>
          <w:color w:val="000000" w:themeColor="text1"/>
          <w14:textFill>
            <w14:solidFill>
              <w14:schemeClr w14:val="tx1"/>
            </w14:solidFill>
          </w14:textFill>
        </w:rPr>
      </w:pPr>
      <w:r>
        <w:rPr>
          <w:i/>
          <w:iCs/>
          <w:color w:val="000000" w:themeColor="text1"/>
          <w14:textFill>
            <w14:solidFill>
              <w14:schemeClr w14:val="tx1"/>
            </w14:solidFill>
          </w14:textFill>
        </w:rPr>
        <w:t>Planiraju se uvesti sljedeće usluge:</w:t>
      </w:r>
    </w:p>
    <w:p w14:paraId="7569616C">
      <w:pPr>
        <w:pStyle w:val="52"/>
        <w:numPr>
          <w:ilvl w:val="0"/>
          <w:numId w:val="14"/>
        </w:numPr>
        <w:rPr>
          <w:color w:val="000000" w:themeColor="text1"/>
          <w14:textFill>
            <w14:solidFill>
              <w14:schemeClr w14:val="tx1"/>
            </w14:solidFill>
          </w14:textFill>
        </w:rPr>
      </w:pPr>
      <w:r>
        <w:rPr>
          <w:color w:val="000000" w:themeColor="text1"/>
          <w14:textFill>
            <w14:solidFill>
              <w14:schemeClr w14:val="tx1"/>
            </w14:solidFill>
          </w14:textFill>
        </w:rPr>
        <w:t>proširenje akreditacije na metode od interesa kupaca tehnike (zapaljivost, globalne migracije za modelne otopine izooktan i tenaks – ostale su akreditirane)</w:t>
      </w:r>
    </w:p>
    <w:p w14:paraId="66CB574E">
      <w:pPr>
        <w:pStyle w:val="52"/>
        <w:numPr>
          <w:ilvl w:val="0"/>
          <w:numId w:val="14"/>
        </w:numPr>
        <w:rPr>
          <w:color w:val="000000" w:themeColor="text1"/>
          <w14:textFill>
            <w14:solidFill>
              <w14:schemeClr w14:val="tx1"/>
            </w14:solidFill>
          </w14:textFill>
        </w:rPr>
      </w:pPr>
      <w:r>
        <w:rPr>
          <w:color w:val="000000" w:themeColor="text1"/>
          <w14:textFill>
            <w14:solidFill>
              <w14:schemeClr w14:val="tx1"/>
            </w14:solidFill>
          </w14:textFill>
        </w:rPr>
        <w:t>proširenje akreditacije na metode od interesa kupaca u suradnji s Odjelom za analitičke tehnike (ftalati, amine, azo-boje)</w:t>
      </w:r>
    </w:p>
    <w:p w14:paraId="7B7010FA">
      <w:r>
        <w:t>Uvođenje novih metoda u skladu s važećim zakonskim propisima i potrebama za ocjenu sukladnosti proizvoda:</w:t>
      </w:r>
    </w:p>
    <w:p w14:paraId="15483D23">
      <w:pPr>
        <w:numPr>
          <w:ilvl w:val="0"/>
          <w:numId w:val="15"/>
        </w:numPr>
      </w:pPr>
      <w:r>
        <w:t>određivanje nitrozamina u elastomerima (dječje dudice, baloni)</w:t>
      </w:r>
    </w:p>
    <w:p w14:paraId="0F5E1400">
      <w:pPr>
        <w:numPr>
          <w:ilvl w:val="0"/>
          <w:numId w:val="15"/>
        </w:numPr>
      </w:pPr>
      <w:r>
        <w:t>određivanje mineralnih ulja MOAH i MOSH u materijalima za ambalažu</w:t>
      </w:r>
    </w:p>
    <w:p w14:paraId="273204E4">
      <w:pPr>
        <w:numPr>
          <w:ilvl w:val="0"/>
          <w:numId w:val="15"/>
        </w:numPr>
      </w:pPr>
      <w:r>
        <w:t xml:space="preserve">uvođene novih metoda vezano za tvari s posebno zabrinjavajućim svojstvima (SVHC – </w:t>
      </w:r>
      <w:r>
        <w:rPr>
          <w:i/>
          <w:iCs/>
        </w:rPr>
        <w:t>Substance of very high concern</w:t>
      </w:r>
      <w:r>
        <w:t>)</w:t>
      </w:r>
    </w:p>
    <w:p w14:paraId="44F25DD8">
      <w:pPr>
        <w:numPr>
          <w:ilvl w:val="0"/>
          <w:numId w:val="15"/>
        </w:numPr>
      </w:pPr>
      <w:r>
        <w:t xml:space="preserve">uvođenje novih analiza vezano za PFOS tvari ( obavezno perfluorooktanska kiselina u </w:t>
      </w:r>
      <w:r>
        <w:rPr>
          <w:i/>
          <w:iCs/>
        </w:rPr>
        <w:t>stick</w:t>
      </w:r>
      <w:r>
        <w:t>-premazima na posuđu) kako bismo mogli strankama pružati potpunije usluge za ocjenu zdravstvene ispravnosti</w:t>
      </w:r>
    </w:p>
    <w:p w14:paraId="2106F818">
      <w:pPr>
        <w:numPr>
          <w:ilvl w:val="0"/>
          <w:numId w:val="15"/>
        </w:numPr>
      </w:pPr>
      <w:r>
        <w:t>uvođenje analize određivanja BADGE spojeva u ambalaži od umjetne mase (dosta je česti zahtjev DIRH-a i privatnih stranaka zbog čega pojačano koristimo uslugu vanjskog laboratorija)</w:t>
      </w:r>
    </w:p>
    <w:p w14:paraId="23687548">
      <w:pPr>
        <w:numPr>
          <w:ilvl w:val="0"/>
          <w:numId w:val="15"/>
        </w:numPr>
      </w:pPr>
      <w:r>
        <w:t>u suradnji s Odjelom za higijenu okoliša uvesti osnovne metode o ispitivanju biorazgradivosti materijala koji se koristiti u proizvodnji POU kao zamjena za mikroplastiku (plan iz prošle godine koji se nije realizirao zbog nedostatka normirane metode i adekvatne tehnike za njegovu provedbu).</w:t>
      </w:r>
    </w:p>
    <w:p w14:paraId="2E6D3C9F">
      <w:r>
        <w:t>Jednako tako se planiraju tijekom 2025. godine razvijati manji projekti u suradnji s industrijom na području ispitivanja kvalitete ambalaže kao i inovativni projekti za kozmetičke proizvode.</w:t>
      </w:r>
    </w:p>
    <w:p w14:paraId="2FBB7DF3">
      <w:pPr>
        <w:rPr>
          <w:spacing w:val="-4"/>
        </w:rPr>
      </w:pPr>
      <w:r>
        <w:rPr>
          <w:spacing w:val="-4"/>
        </w:rPr>
        <w:t>Važno je napomenuti da tržište raste i sve se više koriste novi materijali i sirovine za proizvodnju POU što pridonosi i većem razvoju znanosti s područja identifikacije potencijalno štetnih tvari koje je nužno ispitati kako bi se proizvod ocijenio sukladnim i stavio na tržište. Zato trebamo težiti da nam se usluge u tom pogledu povećavaju i kao akreditirane i neakreditirane kako bi smo mogli zadovoljiti potrebe tržišta i svojih kupaca. U tom dijelu nam je neophodna suradnja s Odjelom za analitičke tehnike jer se koncentracije kontaminanta traže u vrlo niskim granicama i treba primjenjivati sofisticiranu opremu povećane osjetljivosti. Da bi se sve navedeno moglo realizirati potrebno je uz odgovarajuću opremu osigurati i određeni broj stručnog osoblja, stoga je u planu zaposliti nove djelatnike u skladu s novom sistematizacijom i planom zapošljavanja.</w:t>
      </w:r>
    </w:p>
    <w:p w14:paraId="5AA95D4D"/>
    <w:p w14:paraId="4329A203">
      <w:pPr>
        <w:rPr>
          <w:b/>
        </w:rPr>
      </w:pPr>
      <w:r>
        <w:rPr>
          <w:b/>
        </w:rPr>
        <w:t xml:space="preserve">Odjel za kvalitetu i zdravstvenu ispravnost hrane </w:t>
      </w:r>
    </w:p>
    <w:p w14:paraId="2F3916E6">
      <w:r>
        <w:t>Djelatnost Odjela za zdravstvenu ispravnost i kvalitetu hrane bazira osim na analizama hrane, prehrambenih sirovina, aditiva, i na izradi deklaracija te se analitički i organoleptički provjeravaju na različite parametre propisane EU i RH legislativom, ili proizvođačkim specifikacijama.</w:t>
      </w:r>
    </w:p>
    <w:p w14:paraId="3C303CD0">
      <w:pPr>
        <w:rPr>
          <w:iCs/>
        </w:rPr>
      </w:pPr>
      <w:r>
        <w:rPr>
          <w:iCs/>
        </w:rPr>
        <w:t>Planirani prihodi po izvorima:</w:t>
      </w:r>
    </w:p>
    <w:p w14:paraId="2199C770">
      <w:pPr>
        <w:numPr>
          <w:ilvl w:val="0"/>
          <w:numId w:val="16"/>
        </w:numPr>
      </w:pPr>
      <w:r>
        <w:t>monitoring hrane (meda i mliječnih proizvoda), monitoring kontaminanata i aditiva u hrani u suradnji s Državnim inspektoratom RH</w:t>
      </w:r>
    </w:p>
    <w:p w14:paraId="2384DF4B">
      <w:pPr>
        <w:numPr>
          <w:ilvl w:val="0"/>
          <w:numId w:val="16"/>
        </w:numPr>
      </w:pPr>
      <w:r>
        <w:t>monitoring pesticida, u suradnji s Ministarstvom poljoprivrede, a kojeg provodi Državni inspektorat RH</w:t>
      </w:r>
    </w:p>
    <w:p w14:paraId="3B76FE4A">
      <w:pPr>
        <w:numPr>
          <w:ilvl w:val="0"/>
          <w:numId w:val="16"/>
        </w:numPr>
      </w:pPr>
      <w:r>
        <w:t>provedba službenih kontrola prilikom uvoza hrane iz trećih zemalja, u suradnji s Državnim inspektoratom (Granična sanitarna inspekcija)</w:t>
      </w:r>
    </w:p>
    <w:p w14:paraId="5F061FA4">
      <w:pPr>
        <w:numPr>
          <w:ilvl w:val="0"/>
          <w:numId w:val="16"/>
        </w:numPr>
      </w:pPr>
      <w:r>
        <w:t xml:space="preserve">provedba projekta </w:t>
      </w:r>
      <w:r>
        <w:rPr>
          <w:i/>
          <w:iCs/>
        </w:rPr>
        <w:t>Plavi ceker</w:t>
      </w:r>
      <w:r>
        <w:t xml:space="preserve"> u suradnji s Gradskim uredom za poljoprivredu – analiza prehrambenih proizvoda iz malih serija (OPG-ovi)</w:t>
      </w:r>
    </w:p>
    <w:p w14:paraId="08F8D0B7">
      <w:pPr>
        <w:numPr>
          <w:ilvl w:val="0"/>
          <w:numId w:val="16"/>
        </w:numPr>
        <w:rPr>
          <w:spacing w:val="-2"/>
        </w:rPr>
      </w:pPr>
      <w:r>
        <w:rPr>
          <w:spacing w:val="-2"/>
        </w:rPr>
        <w:t xml:space="preserve">usluge na tržištu – strateški partneri: </w:t>
      </w:r>
      <w:r>
        <w:rPr>
          <w:i/>
          <w:iCs/>
          <w:spacing w:val="-2"/>
        </w:rPr>
        <w:t>Dukat, Kaufland Hrvatska, Coca Cola, Zagrebačka pivovara, Konzum Plus, Franck, Atlantic Grupa, Hrvatske šume, Jamnica Plus</w:t>
      </w:r>
      <w:r>
        <w:rPr>
          <w:spacing w:val="-2"/>
        </w:rPr>
        <w:t>, dr.</w:t>
      </w:r>
    </w:p>
    <w:p w14:paraId="4C6BB2CE">
      <w:pPr>
        <w:numPr>
          <w:ilvl w:val="0"/>
          <w:numId w:val="16"/>
        </w:numPr>
        <w:rPr>
          <w:spacing w:val="-2"/>
        </w:rPr>
      </w:pPr>
      <w:r>
        <w:rPr>
          <w:spacing w:val="-2"/>
        </w:rPr>
        <w:t xml:space="preserve">tijekom proteklih godina i tijekom provedbe EU Projekta </w:t>
      </w:r>
      <w:r>
        <w:rPr>
          <w:i/>
          <w:iCs/>
          <w:spacing w:val="-2"/>
        </w:rPr>
        <w:t>Centar za sigurnost i kvalitetu hrane</w:t>
      </w:r>
      <w:r>
        <w:rPr>
          <w:spacing w:val="-2"/>
        </w:rPr>
        <w:t xml:space="preserve">, dio aktivnosti bio je usmjeren na davanje usluga malim proizvođačima te očekujemo i tijekom 2025. godine da se njihov broj poveća osobito uzoraka kao što su med, maslinovo ulje, itd. Obzirom da su u 2024. godini razvijene neke nove metode te unaprijeđene postojeće (pirolizidinski alkaloidi, </w:t>
      </w:r>
      <w:r>
        <w:rPr>
          <w:i/>
          <w:iCs/>
          <w:spacing w:val="-2"/>
        </w:rPr>
        <w:t>multimyco</w:t>
      </w:r>
      <w:r>
        <w:rPr>
          <w:spacing w:val="-2"/>
        </w:rPr>
        <w:t>-metoda za mikotoksine, perklorati) te, s obzirom na to da se planira u narednom periodu uspostaviti i neke nove metode i akreditirati ih (zajedno s odjelom za analitičke tehnike te dobiti ovlaštenje od Nadležnog tijela – MPS), očekuje se održavanje ili povećanje broja uzoraka hrane zbog novih metodologija i usluga koje povećavaju konkurentnost</w:t>
      </w:r>
    </w:p>
    <w:p w14:paraId="5AB756C3">
      <w:pPr>
        <w:numPr>
          <w:ilvl w:val="0"/>
          <w:numId w:val="16"/>
        </w:numPr>
      </w:pPr>
      <w:r>
        <w:t>projekti financirani iz drugih izvora: u Odjelu se kontinuirano provodi više inovativnih projekata o prehrani, poljoprivredi, farmaciji i zdravstvu.</w:t>
      </w:r>
    </w:p>
    <w:p w14:paraId="46884D15"/>
    <w:p w14:paraId="6AA3A79B">
      <w:pPr>
        <w:rPr>
          <w:i/>
          <w:iCs/>
        </w:rPr>
      </w:pPr>
      <w:r>
        <w:rPr>
          <w:i/>
          <w:iCs/>
        </w:rPr>
        <w:t>Projekti</w:t>
      </w:r>
    </w:p>
    <w:p w14:paraId="2361D6FA">
      <w:r>
        <w:t xml:space="preserve">Planiranje za nastavak provedbe vrlo uspješnog završenog projekta </w:t>
      </w:r>
      <w:r>
        <w:rPr>
          <w:i/>
          <w:iCs/>
        </w:rPr>
        <w:t>Utjecaj klimatskih promjena na razvoj plijesni, mikotoksina i kvalitetu žitarica sa prijedlogom mjera</w:t>
      </w:r>
      <w:r>
        <w:t xml:space="preserve"> financiran sredstvima Europske Unije. Očekuje se raspis novog poziva za slijedeće programsko razdoblje (2025. – 2026.).</w:t>
      </w:r>
    </w:p>
    <w:p w14:paraId="7B80FD59">
      <w:r>
        <w:t>Odjel sudjeluje u planiranju i izradi prijava za različite otvorene pozive na projekte u RH i EU – prijavljeni projekti u 2024. godini, a čiji se rezultati odluka još čekaju:</w:t>
      </w:r>
    </w:p>
    <w:p w14:paraId="1E8438F1">
      <w:pPr>
        <w:numPr>
          <w:ilvl w:val="0"/>
          <w:numId w:val="17"/>
        </w:numPr>
      </w:pPr>
      <w:r>
        <w:t xml:space="preserve">APPRRR natječaj za male i srednje velike proizvođače hrane: </w:t>
      </w:r>
      <w:r>
        <w:rPr>
          <w:i/>
          <w:iCs/>
        </w:rPr>
        <w:t>Komparativno istraživanje kratkih lanaca opskrbe povrćem</w:t>
      </w:r>
      <w:r>
        <w:t xml:space="preserve"> – kao jedina istraživačka jedinica u prijavi Zavod ima zadaću provoditi komparativne analize nutritivnih vrijednosti lokalno proizvedenih proizvoda s globalnim, uzimajući u obzir gubitak hranjivih tvari tijekom transporta, pružajući uvid u zdravstvene aspekte lokalne prehrane</w:t>
      </w:r>
    </w:p>
    <w:p w14:paraId="518947E5">
      <w:pPr>
        <w:numPr>
          <w:ilvl w:val="0"/>
          <w:numId w:val="17"/>
        </w:numPr>
      </w:pPr>
      <w:r>
        <w:rPr>
          <w:i/>
          <w:iCs/>
          <w:lang w:val="en-GB"/>
        </w:rPr>
        <w:t>Horizon EU call – Prevention, detection, response and mitigation of chemical, biological and radiological threats to agricultural production, feed and food processing, distribution and consumption</w:t>
      </w:r>
      <w:r>
        <w:t xml:space="preserve"> – pet djelatnika će imati aktivne role u projektu REACTION (</w:t>
      </w:r>
      <w:r>
        <w:rPr>
          <w:i/>
          <w:iCs/>
          <w:lang w:val="en-GB"/>
        </w:rPr>
        <w:t>Food defence</w:t>
      </w:r>
      <w:r>
        <w:t>) tijekom tri godine.</w:t>
      </w:r>
    </w:p>
    <w:p w14:paraId="44F89491"/>
    <w:p w14:paraId="449A4219">
      <w:pPr>
        <w:rPr>
          <w:b/>
        </w:rPr>
      </w:pPr>
      <w:r>
        <w:rPr>
          <w:b/>
        </w:rPr>
        <w:t>Odjel za sanitarnu mikrobiologiju</w:t>
      </w:r>
    </w:p>
    <w:p w14:paraId="6CE69385">
      <w:pPr>
        <w:rPr>
          <w:spacing w:val="-2"/>
        </w:rPr>
      </w:pPr>
      <w:r>
        <w:rPr>
          <w:spacing w:val="-2"/>
        </w:rPr>
        <w:t>Ispitivanja zdravstvene ispravnosti hrane, predmeta opće uporabe i okolišnih uzoraka</w:t>
      </w:r>
      <w:r>
        <w:rPr>
          <w:b/>
          <w:bCs/>
          <w:spacing w:val="-2"/>
        </w:rPr>
        <w:t xml:space="preserve"> </w:t>
      </w:r>
      <w:r>
        <w:rPr>
          <w:bCs/>
          <w:spacing w:val="-2"/>
        </w:rPr>
        <w:t xml:space="preserve">s </w:t>
      </w:r>
      <w:r>
        <w:rPr>
          <w:spacing w:val="-2"/>
        </w:rPr>
        <w:t>obzirom na mikrobiološke parametre te praćenje indikatorskih mikroorganizama u procesima čišćenja u objektima pod sanitarnim nadzorom imaju veliko značenje za zdravlje ljudi. Odjel u hrani ispituje patogene mikroorganizme koji mogu uzrokovati trovanja hranom, mikroorganizme koji uzrokuju kvarenje hrane, ali i mikroorganizme koji su poželjni u hrani kao što su to probiotičke bakterije. Što se tiče predmeta opće uporabe ispituju se mikroorganizmi koji su štetni za kožu i sluznice te otpornost određenih proizvoda na kontaminaciju (</w:t>
      </w:r>
      <w:r>
        <w:rPr>
          <w:i/>
          <w:spacing w:val="-2"/>
        </w:rPr>
        <w:t>Challange test</w:t>
      </w:r>
      <w:r>
        <w:rPr>
          <w:spacing w:val="-2"/>
        </w:rPr>
        <w:t>). Isto tako sve češće se ispituje radni okoliš na prisutnost različitih mikroorganizama koji mogu štetno utjecati na zdravlje ljudi.</w:t>
      </w:r>
    </w:p>
    <w:p w14:paraId="64B6385F">
      <w:r>
        <w:t>U radu Odjela koristi se zakonodavstvo EU, ali i različiti pravilnici, vodiči i preporuke ovisno o zahtjevima ispitivanja (Zakon o higijeni hrane i mikrobiološkim kriterijima za hranu, Vodič za mikrobiološke kriterije za hranu (Ministarstvo poljoprivrede), Zakon o predmetima opće uporabe) te Pravilnik o gospodarenju medicinskim otpadom.</w:t>
      </w:r>
    </w:p>
    <w:p w14:paraId="3D9D7372">
      <w:r>
        <w:t>Odjel je uveo je novu metodu detekcije virusa SARS-CoV-2 u zraku i na brisevima. Također, Odjel planira uvesti metode detekcije GMO iz hrane što zahtjeva zapošljavanje barem jedne osobe koja bi se veći dio radnog vremena bavila molekularnim tehnikama i pratila nove spoznaje u ovom području.</w:t>
      </w:r>
    </w:p>
    <w:p w14:paraId="5C62BB92">
      <w:r>
        <w:t>Jednako tako sukladno mogućnostima planira se razvoj novih poslova u području analiza kozmetičkih proizvoda te mikrobiologije zraka.</w:t>
      </w:r>
    </w:p>
    <w:p w14:paraId="52C2C41A">
      <w:r>
        <w:t>Također, u planu je proširenje broja usluga u području zaštite na radu, u sklopu kojeg se rade i biološki agensi te ispitivanja rezistencije patogenih izolata iz hrane i okoliša.</w:t>
      </w:r>
    </w:p>
    <w:p w14:paraId="14EA0126">
      <w:r>
        <w:t xml:space="preserve">Odjel je zbog rastućeg problema antimikrobne rezistencije pojačao suradnju s Službom za kliničku mikrobiologiju i izolate patogenih bakterija iz hrane šalje na ispitivanje antimikrobne rezistencije te se na taj način želi pridružiti kampanji </w:t>
      </w:r>
      <w:r>
        <w:rPr>
          <w:i/>
          <w:iCs/>
        </w:rPr>
        <w:t>Zajedno spriječimo antimikrobnu rezistenciju</w:t>
      </w:r>
      <w:r>
        <w:t xml:space="preserve"> pristupom </w:t>
      </w:r>
      <w:r>
        <w:rPr>
          <w:i/>
          <w:iCs/>
        </w:rPr>
        <w:t>One Health</w:t>
      </w:r>
      <w:r>
        <w:t xml:space="preserve"> – sveobuhvatni pristup zdravlju čovjeka, životinja i okoliša.</w:t>
      </w:r>
    </w:p>
    <w:p w14:paraId="703AD143">
      <w:r>
        <w:t>Odjel svakodnevno odgovara na upite građana, OPG-a, malih poduzetnika i velikih industrija koje se bave proizvodnjom hrane i/ili koji su pod sanitarnim nadzorom. Odjel je izradio letak putem kojeg će upoznati javnost s mikrosvijetom kojim se naš Odjel bavi, upozoriti na moguće opasnosti i osvijestiti potrebu za ispitivanjima mikroorganizama koji izazivaju bolesti, a mogu se izbjeći pravilnim pristupom.</w:t>
      </w:r>
    </w:p>
    <w:p w14:paraId="15713A75">
      <w:r>
        <w:t>Planirani prihodi po izvorima:</w:t>
      </w:r>
    </w:p>
    <w:p w14:paraId="33DC6462">
      <w:pPr>
        <w:numPr>
          <w:ilvl w:val="0"/>
          <w:numId w:val="18"/>
        </w:numPr>
      </w:pPr>
      <w:r>
        <w:t>Monitoring hrane i predmeta opće uporabe, Gradski ured za zdravstvo</w:t>
      </w:r>
    </w:p>
    <w:p w14:paraId="2903E130">
      <w:pPr>
        <w:numPr>
          <w:ilvl w:val="0"/>
          <w:numId w:val="18"/>
        </w:numPr>
      </w:pPr>
      <w:r>
        <w:t>Monitorinzi u suradnji s Ministarstvom zdravstva i Ministarstvom poljoprivrede</w:t>
      </w:r>
    </w:p>
    <w:p w14:paraId="14E2C342">
      <w:pPr>
        <w:numPr>
          <w:ilvl w:val="0"/>
          <w:numId w:val="18"/>
        </w:numPr>
      </w:pPr>
      <w:r>
        <w:t>Suradnja s vanjskim suradnicima</w:t>
      </w:r>
      <w:r>
        <w:rPr>
          <w:i/>
          <w:iCs/>
        </w:rPr>
        <w:t xml:space="preserve"> (Švajger, ID Eko, Fučkala, ICC i dr.)</w:t>
      </w:r>
    </w:p>
    <w:p w14:paraId="5A698621">
      <w:pPr>
        <w:numPr>
          <w:ilvl w:val="0"/>
          <w:numId w:val="18"/>
        </w:numPr>
      </w:pPr>
      <w:r>
        <w:rPr>
          <w:i/>
          <w:iCs/>
        </w:rPr>
        <w:t xml:space="preserve">Usluge na tržištu – </w:t>
      </w:r>
      <w:r>
        <w:t>strateški partneri</w:t>
      </w:r>
      <w:r>
        <w:rPr>
          <w:i/>
          <w:iCs/>
        </w:rPr>
        <w:t xml:space="preserve"> Dukat, Sirela, KIM, Zvijezda, Vindija, Coca Cola, Studentski centar, Kaufland, BTA i dr.</w:t>
      </w:r>
    </w:p>
    <w:p w14:paraId="1D4B80F3">
      <w:pPr>
        <w:numPr>
          <w:ilvl w:val="0"/>
          <w:numId w:val="18"/>
        </w:numPr>
      </w:pPr>
      <w:r>
        <w:t>Ugovorni partneri – bolnice, škole, vrtići, domovi za stare i nemoćne i dr.</w:t>
      </w:r>
    </w:p>
    <w:p w14:paraId="749E9F66">
      <w:pPr>
        <w:numPr>
          <w:ilvl w:val="0"/>
          <w:numId w:val="18"/>
        </w:numPr>
      </w:pPr>
      <w:r>
        <w:t>Monitoring obrađenog medicinskog otpada – Državni inspektorat</w:t>
      </w:r>
    </w:p>
    <w:p w14:paraId="045603F2">
      <w:pPr>
        <w:numPr>
          <w:ilvl w:val="0"/>
          <w:numId w:val="18"/>
        </w:numPr>
      </w:pPr>
      <w:r>
        <w:t>Mikrobiološke analize radnog okoliša</w:t>
      </w:r>
    </w:p>
    <w:p w14:paraId="72E20000">
      <w:pPr>
        <w:numPr>
          <w:ilvl w:val="0"/>
          <w:numId w:val="18"/>
        </w:numPr>
      </w:pPr>
      <w:r>
        <w:t>Projekti financirani iz EU i/ili drugih izvora.</w:t>
      </w:r>
    </w:p>
    <w:p w14:paraId="0A5E6811">
      <w:r>
        <w:t>Rad Odjela uključuje znanstveno-istraživački rad u suradnji s različitim fakultetima (Agronomski fakultet, Tekstilno-tehnološki fakultet i dr.) kao i suradnju s različitim industrijama i trgovačkim lancima u svrhu poboljšanja kvalitete proizvoda, utvrđivanja i produljenja roka uporabe proizvoda te rješavanja niza izazova u proizvodnji hrane.</w:t>
      </w:r>
    </w:p>
    <w:p w14:paraId="62CB07BA">
      <w:pPr>
        <w:rPr>
          <w:spacing w:val="-4"/>
        </w:rPr>
      </w:pPr>
      <w:r>
        <w:rPr>
          <w:spacing w:val="-4"/>
        </w:rPr>
        <w:t>Odjel je nastavna baza za studente sanitarnog inženjerstva Zdravstvenog veleučilišta, konkretno za dva kolegija (Mikrobiološka analiza hrane i HACCP sustav). Na Odjelu se godišnje izradi nekoliko završnih i diplomskih radova iz područja kvalitete i sigurnosti hrane.</w:t>
      </w:r>
    </w:p>
    <w:p w14:paraId="254CFC21"/>
    <w:p w14:paraId="0720D46E">
      <w:pPr>
        <w:rPr>
          <w:b/>
        </w:rPr>
      </w:pPr>
      <w:r>
        <w:rPr>
          <w:b/>
        </w:rPr>
        <w:t>Odjel za analitičke tehnike</w:t>
      </w:r>
    </w:p>
    <w:p w14:paraId="11823ADC">
      <w:pPr>
        <w:rPr>
          <w:bCs/>
        </w:rPr>
      </w:pPr>
      <w:r>
        <w:t xml:space="preserve">Odjel za analitičke tehnike unutar Službe za zdravstvenu ekologiju Nastavnog zavoda osigurava kvalitetnu analitičku podršku ostalim odjelima Službe radi analize udjela onečišćenja i kontrole kvalitete uzoraka. Analiziraju se različite vrste uzoraka kao što su hrana, dodaci prehrani, predmeti opće uporabe (materijali koji dolaze u kontakt s hranom i vodom za ljudsku potrošnju i predmeti široke potrošnje), pitka i otpadna voda, zrak, tlo i otpad. Svoju kompetentnost za provođenje analiza Odjel potvrđuje sudjelovanjem u brojnim međulaboratorijskim usporedbenim ispitivanjima na kojima se postižu odlični rezultati sukladno </w:t>
      </w:r>
      <w:r>
        <w:rPr>
          <w:bCs/>
        </w:rPr>
        <w:t>Pravilniku o provođenju analitičkih metoda i tumačenju rezultata NN 2/05.</w:t>
      </w:r>
    </w:p>
    <w:p w14:paraId="4C18B48E">
      <w:r>
        <w:rPr>
          <w:bCs/>
        </w:rPr>
        <w:t xml:space="preserve">U sklopu Odjela djeluju nacionalni referentni laboratoriji (NRL) za mikotoksine i biljne toksine u hrani i hrani za životinje te </w:t>
      </w:r>
      <w:r>
        <w:t>referentni laboratoriji za pesticide u voću i povrću te u žitaricama i za određivanje pesticida SRM metodama. NRL-ovi su obvezni provoditi obveze iz ovlaštenja, biti tehnička i znanstvena podrška Ministarstvima i službenim laboratorijima te provoditi zadatke prema zahtjevima Europskih referentnih laboratorija za navedena područja (EURL).</w:t>
      </w:r>
    </w:p>
    <w:p w14:paraId="6AD392FC">
      <w:r>
        <w:t>U 2024. godini nabavljeni su instrumenti ICP-OES i GC-MS. Prebacivanje metoda na nove instrumente započelo je u 2024. godini, a nastaviti će se odvijati u 2025. godini. U 2025. godini planira se razvoj metode analiza Nitrozamina sukladno potrebama Odjela za sigurnost i kvalitetu predmeta opće uporabe. Nadalje, planira se proširiti akreditaciju na metode koje do sada nisu akreditirane, ali i uvođenje novih metoda za određene kategorije hrane, vode, tla, otpada i POU. Tijekom 2025. godine na novi instrument GC-MS prebacit će se metode analiziranja lakohlapivih aromatskih ugljikovodika BTX-a čime će se postići i niža granica određivanja BTX-a u vodi za piće te će se metoda i akreditirati čime će postati konkurentna na tržištu. Na navedenom instrumentu razvit će se i uvesti metoda analiziranja ugljikovodika do C40 čime će se zadovoljiti potrebe zahtjeva u analizama uzoraka otpada.</w:t>
      </w:r>
    </w:p>
    <w:p w14:paraId="51BAC0DC">
      <w:r>
        <w:t>Tijekom 2024. godine uspješno su uvedene metode analiziranja pirolizidinskih alkaloida te će se tijekom sljedećih godina nuditi kupcima kao potencijalna usluga. Razvila se i akreditirala metoda multi mikotoksina čime su se racionalizirale postojeće metode gdje se vršila pojedinačna analiza mikotoksina. Uvođenjem metode analize multi mikotoksina doprinijelo se značajnoj uštedi u pripremi uzoraka te se skratio vremenski period za provođenje metode i povećala konkurentnost na tržištu.</w:t>
      </w:r>
    </w:p>
    <w:p w14:paraId="0485A6BF">
      <w:pPr>
        <w:rPr>
          <w:spacing w:val="-4"/>
        </w:rPr>
      </w:pPr>
      <w:r>
        <w:rPr>
          <w:spacing w:val="-4"/>
        </w:rPr>
        <w:t>Sukladno svojim mogućnostima, Odjel će nastaviti s uvođenjem novih parametara i metoda te proširenjem postojećih prema zahtjevima ostalih Odjela odnosno Ugovora s kupcima, a sve kako bi se Zavod što bolje pozicionirao na tržištu. Nabavkom novog instrumenta GC-MS ostvarila se mogućnost uvođenja Nitrozamina, što se planira u 2025. godini.</w:t>
      </w:r>
    </w:p>
    <w:p w14:paraId="165A934E">
      <w:r>
        <w:t>Odjel planira u idućoj godini povećati broj akreditiranih metoda/parametara u svrhu dobivanja ili proširenja područja Ovlaštenja te povećavanja vjerojatnosti za sklapanje Ugovora s kupcima i provođenje nacionalnih monitoringa.</w:t>
      </w:r>
    </w:p>
    <w:p w14:paraId="2BD1C75E">
      <w:r>
        <w:t xml:space="preserve">Vezano uz opremu odnosno instrumente nabavljene iz projekta </w:t>
      </w:r>
      <w:r>
        <w:rPr>
          <w:i/>
          <w:iCs/>
        </w:rPr>
        <w:t>Centar</w:t>
      </w:r>
      <w:r>
        <w:t xml:space="preserve">, prvenstveno EA LC IRMS, </w:t>
      </w:r>
      <w:r>
        <w:rPr>
          <w:i/>
          <w:iCs/>
        </w:rPr>
        <w:t>Picarro</w:t>
      </w:r>
      <w:r>
        <w:t>, LC-MS/MS, GC-MS/MS te LC-ICP/MS, Odjel planira participirati u projektima kako domaćim tako i međunarodnim, u kojima bi se mogle razvijati metode na navedenoj opremi. Naročito su zanimljive analize vezane za područje utvrđivanja autohtonosti odnosno patvorenosti i zemljopisnog podrijetla gdje bi navedena oprema bila iznimno korisna.</w:t>
      </w:r>
    </w:p>
    <w:p w14:paraId="29DA252F">
      <w:pPr>
        <w:rPr>
          <w:bCs/>
        </w:rPr>
      </w:pPr>
      <w:r>
        <w:rPr>
          <w:bCs/>
        </w:rPr>
        <w:t>Sukladnu povećanju analitičkih metoda Odjel planira zanavljanje opreme i zapošljavanje djelatnika prvenstveno na mjestima gdje su djelatnici otišli u mirovinu.</w:t>
      </w:r>
    </w:p>
    <w:p w14:paraId="788EA1B8">
      <w:r>
        <w:br w:type="page"/>
      </w:r>
    </w:p>
    <w:p w14:paraId="5B0F5CA6">
      <w:pPr>
        <w:rPr>
          <w:iCs/>
        </w:rPr>
      </w:pPr>
      <w:r>
        <w:rPr>
          <w:iCs/>
        </w:rPr>
        <w:t>Planirani prihodi po izvorima:</w:t>
      </w:r>
    </w:p>
    <w:p w14:paraId="77623919">
      <w:pPr>
        <w:ind w:firstLine="709"/>
      </w:pPr>
      <w:r>
        <w:t>Prema ugovorima i programima ostalih odjela.</w:t>
      </w:r>
    </w:p>
    <w:p w14:paraId="0E356A66">
      <w:pPr>
        <w:rPr>
          <w:spacing w:val="-6"/>
        </w:rPr>
      </w:pPr>
      <w:r>
        <w:rPr>
          <w:spacing w:val="-6"/>
        </w:rPr>
        <w:t>U 2025. godini nastavljamo s aktivnostima i analizama uzoraka vezanim za sljedeće projekte:</w:t>
      </w:r>
    </w:p>
    <w:p w14:paraId="323F7757">
      <w:pPr>
        <w:numPr>
          <w:ilvl w:val="0"/>
          <w:numId w:val="19"/>
        </w:numPr>
      </w:pPr>
      <w:r>
        <w:rPr>
          <w:i/>
          <w:iCs/>
        </w:rPr>
        <w:t>Tehnologija preprekama i 3D printanje za okolišno prihvatljivu proizvodnju funkcionalnih voćnih sokova</w:t>
      </w:r>
      <w:r>
        <w:t>, IP-2019-04</w:t>
      </w:r>
    </w:p>
    <w:p w14:paraId="47D2057E">
      <w:pPr>
        <w:numPr>
          <w:ilvl w:val="0"/>
          <w:numId w:val="19"/>
        </w:numPr>
        <w:rPr>
          <w:spacing w:val="-6"/>
        </w:rPr>
      </w:pPr>
      <w:r>
        <w:rPr>
          <w:i/>
          <w:iCs/>
          <w:spacing w:val="-6"/>
        </w:rPr>
        <w:t>Izloženost piretroidnim i organofosfatnim insekticidima u djece – procjena rizika od štetnih učinaka na neuropsihološki razvoj i hormonski status</w:t>
      </w:r>
      <w:r>
        <w:rPr>
          <w:spacing w:val="-6"/>
        </w:rPr>
        <w:t>, projekt HRZZ (2019-04-7193)</w:t>
      </w:r>
    </w:p>
    <w:p w14:paraId="5F299826">
      <w:pPr>
        <w:numPr>
          <w:ilvl w:val="0"/>
          <w:numId w:val="19"/>
        </w:numPr>
      </w:pPr>
      <w:r>
        <w:rPr>
          <w:i/>
          <w:iCs/>
        </w:rPr>
        <w:t>Indirektni utjecaj globalnog zagrijavanja na fiziološke parametre sisavaca prehranom biljkama uzgojenim pri visokoj temperaturi</w:t>
      </w:r>
      <w:r>
        <w:t xml:space="preserve"> – TEMPHYS, IP-2020-02-7585.</w:t>
      </w:r>
    </w:p>
    <w:p w14:paraId="727B3877"/>
    <w:p w14:paraId="4A873541">
      <w:pPr>
        <w:rPr>
          <w:b/>
        </w:rPr>
      </w:pPr>
      <w:r>
        <w:rPr>
          <w:b/>
        </w:rPr>
        <w:t>Odjel za higijenu okoliša</w:t>
      </w:r>
    </w:p>
    <w:p w14:paraId="4012D229">
      <w:r>
        <w:t xml:space="preserve">Odjel za higijenu okoliša provodi širok spektar ispitivanja, uključujući fizikalno-kemijske i mikrobiološke analize zraka, tla, otpada, muljeva i sedimenata; ispitivanja fizikalnih, kemijskih i bioloških štetnosti radnog i životnog okoliša; praćenje kvalitete zraka na automatskoj mjernoj postaji posebne namjene; </w:t>
      </w:r>
      <w:r>
        <w:rPr>
          <w:bCs/>
        </w:rPr>
        <w:t xml:space="preserve">mjerenja odlagališnog plina i ukupne taložne tvari u zraku. </w:t>
      </w:r>
      <w:r>
        <w:t>Poseban naglasak stavlja se na ekotoksikološka ispitivanja otpadnih voda i predmeta opće uporabe, analize biološke razgradnje, aerobiološki monitoring alergenog peluda te melisopalinološke analize sadržaja peluda u medu. Odjel također provodi IR identifikaciju predmeta opće uporabe, pregledne analize na EDX spektrometru kao i određivanje adsorbilnih organskih halogena te ukupnog i otopljenog organskog ugljika u vodama, tlu i otpadu.</w:t>
      </w:r>
    </w:p>
    <w:p w14:paraId="2D1536AD">
      <w:r>
        <w:t>Odjel djeluje u skladu s ovlaštenjima nadležnih Ministarstava i važećim Pravilnicima te se planira dodatno osnažiti kapacitete suradnjom s drugim odjelima Službe.</w:t>
      </w:r>
    </w:p>
    <w:p w14:paraId="0802CD1C">
      <w:r>
        <w:t>Planirani izvori prihoda:</w:t>
      </w:r>
    </w:p>
    <w:p w14:paraId="6E8359DA">
      <w:pPr>
        <w:numPr>
          <w:ilvl w:val="0"/>
          <w:numId w:val="20"/>
        </w:numPr>
        <w:tabs>
          <w:tab w:val="clear" w:pos="360"/>
        </w:tabs>
      </w:pPr>
      <w:r>
        <w:rPr>
          <w:bCs/>
        </w:rPr>
        <w:t>analize i karakterizacija otpada te ispitivanje kontaminacije tla, muljeva i sedimenata</w:t>
      </w:r>
    </w:p>
    <w:p w14:paraId="401AE041">
      <w:pPr>
        <w:numPr>
          <w:ilvl w:val="0"/>
          <w:numId w:val="20"/>
        </w:numPr>
        <w:tabs>
          <w:tab w:val="clear" w:pos="360"/>
        </w:tabs>
      </w:pPr>
      <w:r>
        <w:rPr>
          <w:bCs/>
        </w:rPr>
        <w:t>mjerenja odlagališnog plina i ukupne taložne tvari u zraku</w:t>
      </w:r>
    </w:p>
    <w:p w14:paraId="6219F25B">
      <w:pPr>
        <w:numPr>
          <w:ilvl w:val="0"/>
          <w:numId w:val="20"/>
        </w:numPr>
        <w:tabs>
          <w:tab w:val="clear" w:pos="360"/>
        </w:tabs>
      </w:pPr>
      <w:r>
        <w:rPr>
          <w:bCs/>
        </w:rPr>
        <w:t>ekotoksikološka ispitivanja i analize biološke razgradnje</w:t>
      </w:r>
    </w:p>
    <w:p w14:paraId="1873779C">
      <w:pPr>
        <w:numPr>
          <w:ilvl w:val="0"/>
          <w:numId w:val="20"/>
        </w:numPr>
        <w:tabs>
          <w:tab w:val="clear" w:pos="360"/>
        </w:tabs>
      </w:pPr>
      <w:r>
        <w:rPr>
          <w:bCs/>
        </w:rPr>
        <w:t>melisopalinološke analize</w:t>
      </w:r>
    </w:p>
    <w:p w14:paraId="20C05A64">
      <w:pPr>
        <w:numPr>
          <w:ilvl w:val="0"/>
          <w:numId w:val="20"/>
        </w:numPr>
        <w:tabs>
          <w:tab w:val="clear" w:pos="360"/>
        </w:tabs>
      </w:pPr>
      <w:r>
        <w:rPr>
          <w:bCs/>
        </w:rPr>
        <w:t>zaštita na radu</w:t>
      </w:r>
      <w:r>
        <w:t>: procjena rizika, mjerenja fizikalnih, kemijskih i bioloških štetnosti u radnom i životnom okolišu</w:t>
      </w:r>
    </w:p>
    <w:p w14:paraId="0E586315">
      <w:pPr>
        <w:numPr>
          <w:ilvl w:val="0"/>
          <w:numId w:val="20"/>
        </w:numPr>
        <w:tabs>
          <w:tab w:val="clear" w:pos="360"/>
        </w:tabs>
      </w:pPr>
      <w:r>
        <w:rPr>
          <w:bCs/>
        </w:rPr>
        <w:t>podrška Zavodu</w:t>
      </w:r>
      <w:r>
        <w:t>: ispitivanja radnog okoliša za potrebe Zavoda</w:t>
      </w:r>
    </w:p>
    <w:p w14:paraId="6FDDCB4F">
      <w:pPr>
        <w:numPr>
          <w:ilvl w:val="0"/>
          <w:numId w:val="20"/>
        </w:numPr>
        <w:tabs>
          <w:tab w:val="clear" w:pos="360"/>
        </w:tabs>
      </w:pPr>
      <w:r>
        <w:rPr>
          <w:bCs/>
        </w:rPr>
        <w:t>program zdravstvene ekologije</w:t>
      </w:r>
      <w:r>
        <w:t>: Praćenje kvalitete zraka na automatskoj mjernoj postaji posebne namjene (Mirogojska cesta) i monitoring peludi u zraku</w:t>
      </w:r>
    </w:p>
    <w:p w14:paraId="2ACD75C2">
      <w:pPr>
        <w:numPr>
          <w:ilvl w:val="0"/>
          <w:numId w:val="20"/>
        </w:numPr>
        <w:tabs>
          <w:tab w:val="clear" w:pos="360"/>
        </w:tabs>
      </w:pPr>
      <w:r>
        <w:rPr>
          <w:bCs/>
        </w:rPr>
        <w:t>Ekološka karta Grada Zagreba</w:t>
      </w:r>
      <w:r>
        <w:t>: Monitoring kontaminacije urbanih tala</w:t>
      </w:r>
    </w:p>
    <w:p w14:paraId="272B6839">
      <w:pPr>
        <w:numPr>
          <w:ilvl w:val="0"/>
          <w:numId w:val="20"/>
        </w:numPr>
        <w:tabs>
          <w:tab w:val="clear" w:pos="360"/>
        </w:tabs>
      </w:pPr>
      <w:r>
        <w:t>projekti financirani iz EU i/ili drugih izvora.</w:t>
      </w:r>
    </w:p>
    <w:p w14:paraId="0E329FFF">
      <w:r>
        <w:t>Ove aktivnosti pridonose zaštiti okoliša i zdravlja stanovnika, osiguravajući usklađenost s važećim standardima i zakonskim obvezama.</w:t>
      </w:r>
    </w:p>
    <w:p w14:paraId="4730A851">
      <w:pPr>
        <w:rPr>
          <w:spacing w:val="-4"/>
        </w:rPr>
      </w:pPr>
      <w:r>
        <w:rPr>
          <w:spacing w:val="-4"/>
        </w:rPr>
        <w:t>U 2025. godini, Odjel planira proširiti kapacitete i unaprijediti svoje usluge novim projektima i nabavom opreme, a u skladu s potrebama tržišta i strateškim ciljevima Zavoda.</w:t>
      </w:r>
    </w:p>
    <w:p w14:paraId="30B60B7C">
      <w:r>
        <w:t>Planira se nabavka pokretne postaje za praćenje kvalitete zraka putem programa financiranih od strane Grada Zagreba. Pokretna postaja omogućit će mjerenja na različitim lokacijama, čime će se proširiti mogućnosti monitoringa kvalitete zraka te tržišne aktivnosti vezane uz ove usluge.</w:t>
      </w:r>
    </w:p>
    <w:p w14:paraId="52E368A4">
      <w:r>
        <w:t>U sklopu dugoročnog razvoja laboratorijskih mogućnosti, planira se nabava specijalizirane opreme za uzorkovanje i analizu dioksina u zraku te drugim uzorcima iz okoliša (npr. tlo, muljevi, otpad).</w:t>
      </w:r>
    </w:p>
    <w:p w14:paraId="79323830">
      <w:r>
        <w:t>Planira se i prijava projekta kojim bi se na odabranom pilot-području u gradu Zagrebu istražio utjecaj i mehanizmi zagađivača kojima su građani svakodnevno izloženi korištenjem unaprijed učitanih skupova podataka, računalnih simulacija, umjetne inteligencije i neuronskih mreža čime bi se izradila dinamička karta širenja zagađivača.</w:t>
      </w:r>
    </w:p>
    <w:p w14:paraId="16A276C3">
      <w:r>
        <w:t>Ovi koraci omogućili bi Zavodu pružanje dodatnih specijaliziranih usluga koje su u skladu s visokim standardima zaštite okoliša i zdravlja.</w:t>
      </w:r>
    </w:p>
    <w:p w14:paraId="54D6BA36">
      <w:r>
        <w:t>Očekivani rezultati su:</w:t>
      </w:r>
    </w:p>
    <w:p w14:paraId="4CB27C7D">
      <w:pPr>
        <w:numPr>
          <w:ilvl w:val="0"/>
          <w:numId w:val="21"/>
        </w:numPr>
        <w:tabs>
          <w:tab w:val="clear" w:pos="360"/>
        </w:tabs>
      </w:pPr>
      <w:r>
        <w:t>povećanje konkurentnosti na tržištu novim uslugama uključujući specijalizirane analize dioksina i fleksibilniji monitoring kvalitete zraka</w:t>
      </w:r>
    </w:p>
    <w:p w14:paraId="765E9D33">
      <w:pPr>
        <w:numPr>
          <w:ilvl w:val="0"/>
          <w:numId w:val="21"/>
        </w:numPr>
        <w:tabs>
          <w:tab w:val="clear" w:pos="360"/>
        </w:tabs>
      </w:pPr>
      <w:r>
        <w:t>proširenje suradnje s Gradom Zagrebom te potencijalno s drugim institucijama i privatnim sektorom</w:t>
      </w:r>
    </w:p>
    <w:p w14:paraId="26C1ACE8">
      <w:pPr>
        <w:numPr>
          <w:ilvl w:val="0"/>
          <w:numId w:val="21"/>
        </w:numPr>
        <w:tabs>
          <w:tab w:val="clear" w:pos="360"/>
        </w:tabs>
      </w:pPr>
      <w:r>
        <w:t>dodatni prihodi putem novih ugovora za usluge analize i monitoringa.</w:t>
      </w:r>
    </w:p>
    <w:p w14:paraId="6F131207">
      <w:r>
        <w:t>Ove aktivnosti osiguravale bi daljnji razvoj i modernizaciju Odjela/Službe/Zavoda jačajući njegovu poziciju kao ključnog dionika u području zaštite okoliša i zdravlja.</w:t>
      </w:r>
    </w:p>
    <w:p w14:paraId="0F9530EC">
      <w:r>
        <w:br w:type="page"/>
      </w:r>
    </w:p>
    <w:p w14:paraId="0C6D74F1">
      <w:pPr>
        <w:rPr>
          <w:b/>
        </w:rPr>
      </w:pPr>
      <w:r>
        <w:rPr>
          <w:b/>
        </w:rPr>
        <w:t>Odjel za procjenu rizika</w:t>
      </w:r>
    </w:p>
    <w:p w14:paraId="5E2BF6D3">
      <w:r>
        <w:t>Odjel izdaje specijalistička stručna mišljenja, korektivne mjere i preventivne preporuke o laboratorijski utvrđenim nesukladnim rezultatima i o utjecaju čimbenika iz okoliša na ljudsko zdravlje, na zahtjev fizičkih, pravnih osoba ili nadležnih institucija. Uspostavljeno je procesuirano izdavanje stručnih mišljenja i preporuka uz nesukladne analitičke izvještaje financirane iz lokalnih ili nacionalnih monitoringa u javnozdravstveno značajnim institucijama. Tijekom 2025. godine planirano je, u skladu s izmjenom zakonodavnog okvira praćenja nesukladnih uzoraka zbog prisutnosti legionela u vodi kućne vodoopskrbne mreže prioritetnih objekata, uvođenje procesuiranog izdavanja stručnih mišljenja i preporuka i za ovo područje.</w:t>
      </w:r>
    </w:p>
    <w:p w14:paraId="57A8DC1C">
      <w:r>
        <w:t>Odjel sudjeluje u jačanju internih kapaciteta za procjene utjecaja okoliša na zdravlje, u odabiru točaka uzorkovanja, parametara laboratorijskih analiza za uzorke u okolišu, te u projektnim aktivnostima na razini ustanove ili izvan iste (javnozdravstvene akcije, radionice ili pisanje strateških dokumenata s uključenjem zajednice, prijave i realizacije projekata) i komunikaciji s građanima, o okolišu i zdravlju, pojedinačno kroz odgovore na upite i putem sredstava javnog informiranja.</w:t>
      </w:r>
    </w:p>
    <w:p w14:paraId="31C8D85A">
      <w:pPr>
        <w:rPr>
          <w:iCs/>
        </w:rPr>
      </w:pPr>
      <w:r>
        <w:rPr>
          <w:iCs/>
        </w:rPr>
        <w:t>Planirani prihodi po izvorima:</w:t>
      </w:r>
    </w:p>
    <w:p w14:paraId="0120B044">
      <w:pPr>
        <w:numPr>
          <w:ilvl w:val="0"/>
          <w:numId w:val="22"/>
        </w:numPr>
      </w:pPr>
      <w:r>
        <w:t>Sufinanciranje djelatnosti HZZO zdravstveno-ekološkog tima</w:t>
      </w:r>
    </w:p>
    <w:p w14:paraId="5E16E3B0">
      <w:pPr>
        <w:numPr>
          <w:ilvl w:val="0"/>
          <w:numId w:val="22"/>
        </w:numPr>
      </w:pPr>
      <w:r>
        <w:t xml:space="preserve">Sufinanciranje sati radna na projektnim aktivnostima u sklopu odobrenog projekta </w:t>
      </w:r>
      <w:r>
        <w:rPr>
          <w:i/>
          <w:iCs/>
        </w:rPr>
        <w:t>GreenScape: Climate-proof landscape through renaturing urban areas</w:t>
      </w:r>
      <w:r>
        <w:t xml:space="preserve">, poziv </w:t>
      </w:r>
      <w:r>
        <w:rPr>
          <w:i/>
          <w:iCs/>
        </w:rPr>
        <w:t>Interreg Central Europe</w:t>
      </w:r>
    </w:p>
    <w:p w14:paraId="2F29BF9D">
      <w:pPr>
        <w:numPr>
          <w:ilvl w:val="0"/>
          <w:numId w:val="22"/>
        </w:numPr>
      </w:pPr>
      <w:r>
        <w:t xml:space="preserve">Savjetodavne usluge na tržištu (institucijska oznaka </w:t>
      </w:r>
      <w:r>
        <w:rPr>
          <w:i/>
          <w:iCs/>
        </w:rPr>
        <w:t>Kontrolirana kvaliteta</w:t>
      </w:r>
      <w:r>
        <w:t>, procjene utjecaja i rizika iz okoliša na zdravlje populacije ili pod-populacijskih podskupina)</w:t>
      </w:r>
    </w:p>
    <w:p w14:paraId="6FA8C5D2">
      <w:pPr>
        <w:numPr>
          <w:ilvl w:val="0"/>
          <w:numId w:val="22"/>
        </w:numPr>
      </w:pPr>
      <w:r>
        <w:t>Savjetodavne usluge procjene sukladnosti uvedenog sustava sigurnosti voda i procjena rizika od legionela za kućne vodoopskrbne mreže u prioritetnim objektima u gradu Zagrebu.</w:t>
      </w:r>
    </w:p>
    <w:p w14:paraId="45EC1232"/>
    <w:p w14:paraId="1942AF74"/>
    <w:p w14:paraId="3226A550">
      <w:pPr>
        <w:rPr>
          <w:b/>
        </w:rPr>
      </w:pPr>
      <w:r>
        <w:rPr>
          <w:b/>
        </w:rPr>
        <w:t>Centar za sigurnost i kvalitetu hrane</w:t>
      </w:r>
    </w:p>
    <w:p w14:paraId="0FA0BBEB">
      <w:r>
        <w:t>Centar za sigurnost i kvalitetu hrane regionalna je znanstveno-istraživačka platforma koja omogućava privlačenje vrhunskih znanstvenika, provođenje novih znanstveno-istraživačkih projekata, povećanje broja istraživača koji rade na poboljšanoj IRI infrastrukturi, unapređenje nastavnih aktivnosti Nastavnog zavoda i Agronomskog fakulteta Sveučilišta u Zagrebu te povećanje broja znanstveno-istraživačkih radova.</w:t>
      </w:r>
    </w:p>
    <w:p w14:paraId="2455CF49">
      <w:r>
        <w:t xml:space="preserve">U Centru se provode znanstvena istraživanja na opremi nabavljenoj u okviru projekta </w:t>
      </w:r>
      <w:r>
        <w:rPr>
          <w:i/>
          <w:iCs/>
        </w:rPr>
        <w:t>Centar za sigurnost i kvalitetu hrane</w:t>
      </w:r>
      <w:r>
        <w:t xml:space="preserve"> iz Operativnog programa konkurentnost i kohezija iz Europskog fonda za regionalni razvoj, KK.01.1.1.02.0004.</w:t>
      </w:r>
    </w:p>
    <w:p w14:paraId="0AFDDDBE">
      <w:pPr>
        <w:rPr>
          <w:spacing w:val="-6"/>
        </w:rPr>
      </w:pPr>
      <w:r>
        <w:rPr>
          <w:spacing w:val="-6"/>
        </w:rPr>
        <w:t>Centar se nalazi na dvije lokacije, na lokaciji Nastavnog zavoda i lokaciji partnera – Agronomski fakultet, Laboratorij za senzorska svojstva poljoprivrednih prehrambenih proizvoda.</w:t>
      </w:r>
    </w:p>
    <w:p w14:paraId="48307AAB">
      <w:r>
        <w:t>Tijekom 2025. godine provodit će se znanstveno istraživački projekti koji ujedno predstavljaju i ključna područja u kojima će se odvijati aktivnosti Centra:</w:t>
      </w:r>
    </w:p>
    <w:p w14:paraId="06DED841">
      <w:pPr>
        <w:numPr>
          <w:ilvl w:val="0"/>
          <w:numId w:val="23"/>
        </w:numPr>
      </w:pPr>
      <w:r>
        <w:t>određivanje izvornosti i zemljopisnog podrijetla prehrambenih proizvoda</w:t>
      </w:r>
    </w:p>
    <w:p w14:paraId="2E1AD8D5">
      <w:pPr>
        <w:numPr>
          <w:ilvl w:val="0"/>
          <w:numId w:val="23"/>
        </w:numPr>
      </w:pPr>
      <w:r>
        <w:t>kontrola patvorenosti prehrambenih proizvoda</w:t>
      </w:r>
    </w:p>
    <w:p w14:paraId="56FD2517">
      <w:pPr>
        <w:numPr>
          <w:ilvl w:val="0"/>
          <w:numId w:val="23"/>
        </w:numPr>
      </w:pPr>
      <w:r>
        <w:t>valorizacija i kontrola organske hrane</w:t>
      </w:r>
    </w:p>
    <w:p w14:paraId="4884C8A9">
      <w:pPr>
        <w:numPr>
          <w:ilvl w:val="0"/>
          <w:numId w:val="23"/>
        </w:numPr>
        <w:rPr>
          <w:spacing w:val="-12"/>
        </w:rPr>
      </w:pPr>
      <w:r>
        <w:rPr>
          <w:spacing w:val="-12"/>
        </w:rPr>
        <w:t>vrednovanje senzornih svojstava hrvatskih izvornih poljoprivrednih i prehrambenih proizvoda.</w:t>
      </w:r>
    </w:p>
    <w:p w14:paraId="2912C50D">
      <w:r>
        <w:t>U narednoj godini planira se diseminacija rezultata proizašlih iz projekta Centar za sigurnost i kvalitetu hrane te prijava novih projekata na nacionalne i europske fondove u suradnji sa suradnim znanstvenim institucijama Agronomskim fakultetom, Prehrambeno-biotehnološkim fakultetom, Farmaceutsko-biokemijskim fakultetom, Prirodoslovno-matematičkim fakultetom, Medicinskim fakultetom te Institutom za medicinska istraživanja i medicinu rada.</w:t>
      </w:r>
    </w:p>
    <w:p w14:paraId="501E4C67">
      <w:pPr>
        <w:rPr>
          <w:iCs/>
        </w:rPr>
      </w:pPr>
      <w:r>
        <w:rPr>
          <w:iCs/>
        </w:rPr>
        <w:t>Planirani prihodi po izvorima</w:t>
      </w:r>
      <w:r>
        <w:rPr>
          <w:i/>
        </w:rPr>
        <w:t>:</w:t>
      </w:r>
    </w:p>
    <w:p w14:paraId="3565EC9A">
      <w:pPr>
        <w:numPr>
          <w:ilvl w:val="0"/>
          <w:numId w:val="24"/>
        </w:numPr>
      </w:pPr>
      <w:r>
        <w:t>usluge na tržištu.</w:t>
      </w:r>
    </w:p>
    <w:p w14:paraId="223299FA">
      <w:pPr>
        <w:numPr>
          <w:ilvl w:val="0"/>
          <w:numId w:val="24"/>
        </w:numPr>
        <w:rPr>
          <w:spacing w:val="-6"/>
        </w:rPr>
      </w:pPr>
      <w:r>
        <w:rPr>
          <w:spacing w:val="-6"/>
        </w:rPr>
        <w:t>sufinanciranje projektnih aktivnosti u sklopu odobrenih projekata istraživanja i razvoja</w:t>
      </w:r>
    </w:p>
    <w:p w14:paraId="7C76C901"/>
    <w:p w14:paraId="630F23D3">
      <w:r>
        <w:br w:type="page"/>
      </w:r>
    </w:p>
    <w:p w14:paraId="2AA6FB9B"/>
    <w:p w14:paraId="0DFF9DC5">
      <w:pPr>
        <w:pStyle w:val="147"/>
      </w:pPr>
      <w:r>
        <w:t>ZAKONSKA PODLOGA NA KOJOJ SE ZASNIVA PROGRAM RADA SLUŽBE ZA ZDRAVSTVENU EKOLOGIJU</w:t>
      </w:r>
    </w:p>
    <w:p w14:paraId="2254597F">
      <w:pPr>
        <w:rPr>
          <w:bCs/>
        </w:rPr>
      </w:pPr>
    </w:p>
    <w:p w14:paraId="18FA2931">
      <w:pPr>
        <w:rPr>
          <w:bCs/>
          <w:i/>
          <w:iCs/>
        </w:rPr>
      </w:pPr>
      <w:r>
        <w:rPr>
          <w:bCs/>
          <w:i/>
          <w:iCs/>
        </w:rPr>
        <w:t>Tablica – Popis ovlaštenja i odobrenja</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629"/>
        <w:gridCol w:w="2729"/>
        <w:gridCol w:w="3368"/>
      </w:tblGrid>
      <w:tr w14:paraId="0BC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03" w:type="pct"/>
            <w:tcBorders>
              <w:bottom w:val="double" w:color="auto" w:sz="4" w:space="0"/>
            </w:tcBorders>
            <w:shd w:val="clear" w:color="auto" w:fill="auto"/>
            <w:vAlign w:val="center"/>
          </w:tcPr>
          <w:p w14:paraId="500AFE4A">
            <w:pPr>
              <w:pStyle w:val="150"/>
              <w:jc w:val="left"/>
              <w:rPr>
                <w:i/>
                <w:iCs w:val="0"/>
                <w:sz w:val="18"/>
                <w:szCs w:val="18"/>
              </w:rPr>
            </w:pPr>
            <w:r>
              <w:rPr>
                <w:i/>
                <w:iCs w:val="0"/>
                <w:sz w:val="18"/>
                <w:szCs w:val="18"/>
              </w:rPr>
              <w:t>R. br.</w:t>
            </w:r>
          </w:p>
        </w:tc>
        <w:tc>
          <w:tcPr>
            <w:tcW w:w="1415" w:type="pct"/>
            <w:tcBorders>
              <w:bottom w:val="double" w:color="auto" w:sz="4" w:space="0"/>
            </w:tcBorders>
            <w:shd w:val="clear" w:color="auto" w:fill="auto"/>
            <w:vAlign w:val="center"/>
          </w:tcPr>
          <w:p w14:paraId="50CA2D48">
            <w:pPr>
              <w:pStyle w:val="150"/>
              <w:jc w:val="left"/>
              <w:rPr>
                <w:i/>
                <w:iCs w:val="0"/>
                <w:sz w:val="18"/>
                <w:szCs w:val="18"/>
              </w:rPr>
            </w:pPr>
            <w:r>
              <w:rPr>
                <w:i/>
                <w:iCs w:val="0"/>
                <w:sz w:val="18"/>
                <w:szCs w:val="18"/>
              </w:rPr>
              <w:t>Ovlaštenje</w:t>
            </w:r>
          </w:p>
        </w:tc>
        <w:tc>
          <w:tcPr>
            <w:tcW w:w="1469" w:type="pct"/>
            <w:tcBorders>
              <w:bottom w:val="double" w:color="auto" w:sz="4" w:space="0"/>
            </w:tcBorders>
            <w:shd w:val="clear" w:color="auto" w:fill="auto"/>
            <w:vAlign w:val="center"/>
          </w:tcPr>
          <w:p w14:paraId="7737F92C">
            <w:pPr>
              <w:pStyle w:val="150"/>
              <w:jc w:val="left"/>
              <w:rPr>
                <w:i/>
                <w:iCs w:val="0"/>
                <w:sz w:val="18"/>
                <w:szCs w:val="18"/>
              </w:rPr>
            </w:pPr>
            <w:r>
              <w:rPr>
                <w:i/>
                <w:iCs w:val="0"/>
                <w:sz w:val="18"/>
                <w:szCs w:val="18"/>
              </w:rPr>
              <w:t>Područje</w:t>
            </w:r>
          </w:p>
        </w:tc>
        <w:tc>
          <w:tcPr>
            <w:tcW w:w="1813" w:type="pct"/>
            <w:shd w:val="clear" w:color="auto" w:fill="auto"/>
            <w:vAlign w:val="center"/>
          </w:tcPr>
          <w:p w14:paraId="395EFAE8">
            <w:pPr>
              <w:pStyle w:val="150"/>
              <w:jc w:val="left"/>
              <w:rPr>
                <w:i/>
                <w:iCs w:val="0"/>
                <w:sz w:val="18"/>
                <w:szCs w:val="18"/>
              </w:rPr>
            </w:pPr>
            <w:r>
              <w:rPr>
                <w:i/>
                <w:iCs w:val="0"/>
                <w:sz w:val="18"/>
                <w:szCs w:val="18"/>
              </w:rPr>
              <w:t>Odobrenje</w:t>
            </w:r>
          </w:p>
        </w:tc>
      </w:tr>
      <w:tr w14:paraId="1F6F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tcBorders>
              <w:top w:val="double" w:color="auto" w:sz="4" w:space="0"/>
            </w:tcBorders>
            <w:shd w:val="clear" w:color="auto" w:fill="auto"/>
            <w:vAlign w:val="center"/>
          </w:tcPr>
          <w:p w14:paraId="39E84A1C">
            <w:pPr>
              <w:pStyle w:val="150"/>
              <w:jc w:val="left"/>
              <w:rPr>
                <w:sz w:val="18"/>
                <w:szCs w:val="18"/>
              </w:rPr>
            </w:pPr>
            <w:r>
              <w:rPr>
                <w:sz w:val="18"/>
                <w:szCs w:val="18"/>
              </w:rPr>
              <w:t>Ministarstvo poljoprivrede, ribarstva i šumarstva</w:t>
            </w:r>
          </w:p>
        </w:tc>
      </w:tr>
      <w:tr w14:paraId="6405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253B6D0E">
            <w:pPr>
              <w:pStyle w:val="150"/>
              <w:jc w:val="left"/>
              <w:rPr>
                <w:sz w:val="18"/>
                <w:szCs w:val="18"/>
              </w:rPr>
            </w:pPr>
            <w:r>
              <w:rPr>
                <w:sz w:val="18"/>
                <w:szCs w:val="18"/>
              </w:rPr>
              <w:t>1.</w:t>
            </w:r>
          </w:p>
        </w:tc>
        <w:tc>
          <w:tcPr>
            <w:tcW w:w="1415" w:type="pct"/>
            <w:shd w:val="clear" w:color="auto" w:fill="auto"/>
            <w:vAlign w:val="center"/>
          </w:tcPr>
          <w:p w14:paraId="73D37CA3">
            <w:pPr>
              <w:pStyle w:val="150"/>
              <w:jc w:val="left"/>
              <w:rPr>
                <w:spacing w:val="-6"/>
                <w:sz w:val="18"/>
                <w:szCs w:val="18"/>
              </w:rPr>
            </w:pPr>
            <w:r>
              <w:rPr>
                <w:spacing w:val="-6"/>
                <w:sz w:val="18"/>
                <w:szCs w:val="18"/>
              </w:rPr>
              <w:t>Služba za zdravstvenu ekologiju – odluka Ministarstva poljoprivrede o određivanju nacionalnog referentnog laboratorija</w:t>
            </w:r>
          </w:p>
        </w:tc>
        <w:tc>
          <w:tcPr>
            <w:tcW w:w="1469" w:type="pct"/>
            <w:shd w:val="clear" w:color="auto" w:fill="auto"/>
            <w:vAlign w:val="center"/>
          </w:tcPr>
          <w:p w14:paraId="13616F28">
            <w:pPr>
              <w:pStyle w:val="150"/>
              <w:jc w:val="left"/>
              <w:rPr>
                <w:sz w:val="18"/>
                <w:szCs w:val="18"/>
              </w:rPr>
            </w:pPr>
            <w:r>
              <w:rPr>
                <w:sz w:val="18"/>
                <w:szCs w:val="18"/>
              </w:rPr>
              <w:t>Određivanje prisutnosti alergena porijeklom iz mlijeka u medu</w:t>
            </w:r>
          </w:p>
        </w:tc>
        <w:tc>
          <w:tcPr>
            <w:tcW w:w="1813" w:type="pct"/>
            <w:shd w:val="clear" w:color="auto" w:fill="auto"/>
            <w:vAlign w:val="center"/>
          </w:tcPr>
          <w:p w14:paraId="1BF2016A">
            <w:pPr>
              <w:pStyle w:val="150"/>
              <w:jc w:val="left"/>
              <w:rPr>
                <w:sz w:val="18"/>
                <w:szCs w:val="18"/>
              </w:rPr>
            </w:pPr>
            <w:r>
              <w:rPr>
                <w:sz w:val="18"/>
                <w:szCs w:val="18"/>
              </w:rPr>
              <w:t>Klasa: UP/I-322-01/16-01/750</w:t>
            </w:r>
          </w:p>
          <w:p w14:paraId="2E2CF59C">
            <w:pPr>
              <w:pStyle w:val="150"/>
              <w:jc w:val="left"/>
              <w:rPr>
                <w:sz w:val="18"/>
                <w:szCs w:val="18"/>
              </w:rPr>
            </w:pPr>
            <w:r>
              <w:rPr>
                <w:sz w:val="18"/>
                <w:szCs w:val="18"/>
              </w:rPr>
              <w:t>Urbroj: 525-10/1308-16-4</w:t>
            </w:r>
          </w:p>
          <w:p w14:paraId="0DD71AB2">
            <w:pPr>
              <w:pStyle w:val="150"/>
              <w:jc w:val="left"/>
              <w:rPr>
                <w:sz w:val="18"/>
                <w:szCs w:val="18"/>
              </w:rPr>
            </w:pPr>
            <w:r>
              <w:rPr>
                <w:sz w:val="18"/>
                <w:szCs w:val="18"/>
              </w:rPr>
              <w:t>Datum izdavanja ovlaštenja: 06.07.2016.</w:t>
            </w:r>
          </w:p>
          <w:p w14:paraId="1027DAE9">
            <w:pPr>
              <w:pStyle w:val="150"/>
              <w:jc w:val="left"/>
              <w:rPr>
                <w:sz w:val="18"/>
                <w:szCs w:val="18"/>
              </w:rPr>
            </w:pPr>
            <w:r>
              <w:rPr>
                <w:sz w:val="18"/>
                <w:szCs w:val="18"/>
              </w:rPr>
              <w:t>Ovlaštenje vrijedi do: opoziva</w:t>
            </w:r>
          </w:p>
        </w:tc>
      </w:tr>
      <w:tr w14:paraId="4055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4E478459">
            <w:pPr>
              <w:pStyle w:val="150"/>
              <w:jc w:val="left"/>
              <w:rPr>
                <w:sz w:val="18"/>
                <w:szCs w:val="18"/>
              </w:rPr>
            </w:pPr>
            <w:r>
              <w:rPr>
                <w:sz w:val="18"/>
                <w:szCs w:val="18"/>
              </w:rPr>
              <w:t>2.</w:t>
            </w:r>
          </w:p>
        </w:tc>
        <w:tc>
          <w:tcPr>
            <w:tcW w:w="1415" w:type="pct"/>
            <w:shd w:val="clear" w:color="auto" w:fill="auto"/>
            <w:vAlign w:val="center"/>
          </w:tcPr>
          <w:p w14:paraId="28AD1E07">
            <w:pPr>
              <w:pStyle w:val="150"/>
              <w:jc w:val="left"/>
              <w:rPr>
                <w:spacing w:val="-6"/>
                <w:sz w:val="18"/>
                <w:szCs w:val="18"/>
              </w:rPr>
            </w:pPr>
            <w:r>
              <w:rPr>
                <w:spacing w:val="-6"/>
                <w:sz w:val="18"/>
                <w:szCs w:val="18"/>
              </w:rPr>
              <w:t xml:space="preserve">Služba za zdravstvenu ekologiju – odluka Ministarstva poljoprivrede o određivanju nacionalnog referentnog laboratorija </w:t>
            </w:r>
          </w:p>
        </w:tc>
        <w:tc>
          <w:tcPr>
            <w:tcW w:w="1469" w:type="pct"/>
            <w:shd w:val="clear" w:color="auto" w:fill="auto"/>
            <w:vAlign w:val="center"/>
          </w:tcPr>
          <w:p w14:paraId="1465C844">
            <w:pPr>
              <w:pStyle w:val="150"/>
              <w:jc w:val="left"/>
              <w:rPr>
                <w:sz w:val="18"/>
                <w:szCs w:val="18"/>
              </w:rPr>
            </w:pPr>
            <w:r>
              <w:rPr>
                <w:sz w:val="18"/>
                <w:szCs w:val="18"/>
              </w:rPr>
              <w:t>Utvrđivanje patvorenosti meda</w:t>
            </w:r>
          </w:p>
        </w:tc>
        <w:tc>
          <w:tcPr>
            <w:tcW w:w="1813" w:type="pct"/>
            <w:shd w:val="clear" w:color="auto" w:fill="auto"/>
            <w:vAlign w:val="center"/>
          </w:tcPr>
          <w:p w14:paraId="1FC08463">
            <w:pPr>
              <w:pStyle w:val="150"/>
              <w:jc w:val="left"/>
              <w:rPr>
                <w:sz w:val="18"/>
                <w:szCs w:val="18"/>
              </w:rPr>
            </w:pPr>
            <w:r>
              <w:rPr>
                <w:sz w:val="18"/>
                <w:szCs w:val="18"/>
              </w:rPr>
              <w:t>Klasa: UP/I-322-01/14-01/1408</w:t>
            </w:r>
          </w:p>
          <w:p w14:paraId="37A39FD5">
            <w:pPr>
              <w:pStyle w:val="150"/>
              <w:jc w:val="left"/>
              <w:rPr>
                <w:sz w:val="18"/>
                <w:szCs w:val="18"/>
              </w:rPr>
            </w:pPr>
            <w:r>
              <w:rPr>
                <w:sz w:val="18"/>
                <w:szCs w:val="18"/>
              </w:rPr>
              <w:t>Urbroj: 525-10/1307-14-2</w:t>
            </w:r>
          </w:p>
          <w:p w14:paraId="1B378E5D">
            <w:pPr>
              <w:pStyle w:val="150"/>
              <w:jc w:val="left"/>
              <w:rPr>
                <w:sz w:val="18"/>
                <w:szCs w:val="18"/>
              </w:rPr>
            </w:pPr>
            <w:r>
              <w:rPr>
                <w:sz w:val="18"/>
                <w:szCs w:val="18"/>
              </w:rPr>
              <w:t>Datum izdavanja ovlaštenja: 15.07.2014.</w:t>
            </w:r>
          </w:p>
          <w:p w14:paraId="3D5D5369">
            <w:pPr>
              <w:pStyle w:val="150"/>
              <w:jc w:val="left"/>
              <w:rPr>
                <w:sz w:val="18"/>
                <w:szCs w:val="18"/>
              </w:rPr>
            </w:pPr>
            <w:r>
              <w:rPr>
                <w:sz w:val="18"/>
                <w:szCs w:val="18"/>
              </w:rPr>
              <w:t>Ovlaštenje vrijedi do: opoziva</w:t>
            </w:r>
          </w:p>
        </w:tc>
      </w:tr>
      <w:tr w14:paraId="3469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35485552">
            <w:pPr>
              <w:pStyle w:val="150"/>
              <w:jc w:val="left"/>
              <w:rPr>
                <w:sz w:val="18"/>
                <w:szCs w:val="18"/>
              </w:rPr>
            </w:pPr>
            <w:r>
              <w:rPr>
                <w:sz w:val="18"/>
                <w:szCs w:val="18"/>
              </w:rPr>
              <w:t>3.</w:t>
            </w:r>
          </w:p>
        </w:tc>
        <w:tc>
          <w:tcPr>
            <w:tcW w:w="1415" w:type="pct"/>
            <w:shd w:val="clear" w:color="auto" w:fill="auto"/>
            <w:vAlign w:val="center"/>
          </w:tcPr>
          <w:p w14:paraId="32FE08AD">
            <w:pPr>
              <w:pStyle w:val="150"/>
              <w:jc w:val="left"/>
              <w:rPr>
                <w:sz w:val="18"/>
                <w:szCs w:val="18"/>
              </w:rPr>
            </w:pPr>
            <w:r>
              <w:rPr>
                <w:sz w:val="18"/>
                <w:szCs w:val="18"/>
              </w:rPr>
              <w:t xml:space="preserve">Služba za zdravstvenu ekologiju (Odjel za zdravstvenu ispravnost i kvalitetu hrane i predmeta opće uporabe) – ovlašteni referentni laboratorij </w:t>
            </w:r>
          </w:p>
        </w:tc>
        <w:tc>
          <w:tcPr>
            <w:tcW w:w="1469" w:type="pct"/>
            <w:shd w:val="clear" w:color="auto" w:fill="auto"/>
            <w:vAlign w:val="center"/>
          </w:tcPr>
          <w:p w14:paraId="569F9F2D">
            <w:pPr>
              <w:pStyle w:val="150"/>
              <w:jc w:val="left"/>
              <w:rPr>
                <w:sz w:val="18"/>
                <w:szCs w:val="18"/>
              </w:rPr>
            </w:pPr>
            <w:r>
              <w:rPr>
                <w:sz w:val="18"/>
                <w:szCs w:val="18"/>
              </w:rPr>
              <w:t>Ispitivanje mikotoksina u hrani i hrani za životinje</w:t>
            </w:r>
          </w:p>
        </w:tc>
        <w:tc>
          <w:tcPr>
            <w:tcW w:w="1813" w:type="pct"/>
            <w:shd w:val="clear" w:color="auto" w:fill="auto"/>
            <w:vAlign w:val="center"/>
          </w:tcPr>
          <w:p w14:paraId="44AA6261">
            <w:pPr>
              <w:pStyle w:val="150"/>
              <w:jc w:val="left"/>
              <w:rPr>
                <w:sz w:val="18"/>
                <w:szCs w:val="18"/>
              </w:rPr>
            </w:pPr>
            <w:r>
              <w:rPr>
                <w:sz w:val="18"/>
                <w:szCs w:val="18"/>
              </w:rPr>
              <w:t xml:space="preserve">Klasa: UP/I-310-26/13-01/56 </w:t>
            </w:r>
          </w:p>
          <w:p w14:paraId="578D05B1">
            <w:pPr>
              <w:pStyle w:val="150"/>
              <w:jc w:val="left"/>
              <w:rPr>
                <w:sz w:val="18"/>
                <w:szCs w:val="18"/>
              </w:rPr>
            </w:pPr>
            <w:r>
              <w:rPr>
                <w:sz w:val="18"/>
                <w:szCs w:val="18"/>
              </w:rPr>
              <w:t>Urbroj: 525-10/1307-14-7</w:t>
            </w:r>
          </w:p>
          <w:p w14:paraId="58204B10">
            <w:pPr>
              <w:pStyle w:val="150"/>
              <w:jc w:val="left"/>
              <w:rPr>
                <w:sz w:val="18"/>
                <w:szCs w:val="18"/>
              </w:rPr>
            </w:pPr>
            <w:r>
              <w:rPr>
                <w:sz w:val="18"/>
                <w:szCs w:val="18"/>
              </w:rPr>
              <w:t>Datum izdavanja ovlaštenja: 18.03.2014.</w:t>
            </w:r>
          </w:p>
          <w:p w14:paraId="69EC9700">
            <w:pPr>
              <w:pStyle w:val="150"/>
              <w:jc w:val="left"/>
              <w:rPr>
                <w:sz w:val="18"/>
                <w:szCs w:val="18"/>
              </w:rPr>
            </w:pPr>
            <w:r>
              <w:rPr>
                <w:sz w:val="18"/>
                <w:szCs w:val="18"/>
              </w:rPr>
              <w:t>Ovlaštenje vrijedi do: opoziva</w:t>
            </w:r>
          </w:p>
        </w:tc>
      </w:tr>
      <w:tr w14:paraId="7A47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5B02B776">
            <w:pPr>
              <w:pStyle w:val="150"/>
              <w:jc w:val="left"/>
              <w:rPr>
                <w:sz w:val="18"/>
                <w:szCs w:val="18"/>
              </w:rPr>
            </w:pPr>
            <w:r>
              <w:rPr>
                <w:sz w:val="18"/>
                <w:szCs w:val="18"/>
              </w:rPr>
              <w:t>4.</w:t>
            </w:r>
          </w:p>
        </w:tc>
        <w:tc>
          <w:tcPr>
            <w:tcW w:w="1415" w:type="pct"/>
            <w:shd w:val="clear" w:color="auto" w:fill="auto"/>
            <w:vAlign w:val="center"/>
          </w:tcPr>
          <w:p w14:paraId="1244FEC4">
            <w:pPr>
              <w:pStyle w:val="150"/>
              <w:jc w:val="left"/>
              <w:rPr>
                <w:sz w:val="18"/>
                <w:szCs w:val="18"/>
              </w:rPr>
            </w:pPr>
            <w:r>
              <w:rPr>
                <w:sz w:val="18"/>
                <w:szCs w:val="18"/>
              </w:rPr>
              <w:t>Služba za zdravstvenu ekologiju</w:t>
            </w:r>
          </w:p>
        </w:tc>
        <w:tc>
          <w:tcPr>
            <w:tcW w:w="1469" w:type="pct"/>
            <w:shd w:val="clear" w:color="auto" w:fill="auto"/>
            <w:vAlign w:val="center"/>
          </w:tcPr>
          <w:p w14:paraId="7BEE50F5">
            <w:pPr>
              <w:pStyle w:val="150"/>
              <w:jc w:val="left"/>
              <w:rPr>
                <w:sz w:val="18"/>
                <w:szCs w:val="18"/>
              </w:rPr>
            </w:pPr>
            <w:r>
              <w:rPr>
                <w:sz w:val="18"/>
                <w:szCs w:val="18"/>
              </w:rPr>
              <w:t>Uzorkovanje i ispitivanje hrane, hrane za životinje, ispitivanje prirodne mineralne, stolne i izvorske vode</w:t>
            </w:r>
          </w:p>
        </w:tc>
        <w:tc>
          <w:tcPr>
            <w:tcW w:w="1813" w:type="pct"/>
            <w:shd w:val="clear" w:color="auto" w:fill="auto"/>
            <w:vAlign w:val="center"/>
          </w:tcPr>
          <w:p w14:paraId="00A4CA35">
            <w:pPr>
              <w:pStyle w:val="150"/>
              <w:jc w:val="left"/>
              <w:rPr>
                <w:sz w:val="18"/>
                <w:szCs w:val="18"/>
              </w:rPr>
            </w:pPr>
            <w:r>
              <w:rPr>
                <w:sz w:val="18"/>
                <w:szCs w:val="18"/>
              </w:rPr>
              <w:t>Klasa: UP/I-322-01/18-01/42</w:t>
            </w:r>
          </w:p>
          <w:p w14:paraId="4CEE08D4">
            <w:pPr>
              <w:pStyle w:val="150"/>
              <w:jc w:val="left"/>
              <w:rPr>
                <w:sz w:val="18"/>
                <w:szCs w:val="18"/>
              </w:rPr>
            </w:pPr>
            <w:r>
              <w:rPr>
                <w:sz w:val="18"/>
                <w:szCs w:val="18"/>
              </w:rPr>
              <w:t>Urbroj: 525-10/0538-20-5</w:t>
            </w:r>
          </w:p>
          <w:p w14:paraId="62D581FC">
            <w:pPr>
              <w:pStyle w:val="150"/>
              <w:jc w:val="left"/>
              <w:rPr>
                <w:sz w:val="18"/>
                <w:szCs w:val="18"/>
              </w:rPr>
            </w:pPr>
            <w:r>
              <w:rPr>
                <w:sz w:val="18"/>
                <w:szCs w:val="18"/>
              </w:rPr>
              <w:t>Zagreb, 20. siječnja 2020. godine</w:t>
            </w:r>
          </w:p>
          <w:p w14:paraId="33E8851A">
            <w:pPr>
              <w:pStyle w:val="150"/>
              <w:jc w:val="left"/>
              <w:rPr>
                <w:sz w:val="18"/>
                <w:szCs w:val="18"/>
              </w:rPr>
            </w:pPr>
            <w:r>
              <w:rPr>
                <w:sz w:val="18"/>
                <w:szCs w:val="18"/>
              </w:rPr>
              <w:t>Ovlaštenje vrijedi do: opoziva</w:t>
            </w:r>
          </w:p>
        </w:tc>
      </w:tr>
      <w:tr w14:paraId="2E9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11E9E1F9">
            <w:pPr>
              <w:pStyle w:val="150"/>
              <w:jc w:val="left"/>
              <w:rPr>
                <w:sz w:val="18"/>
                <w:szCs w:val="18"/>
              </w:rPr>
            </w:pPr>
            <w:r>
              <w:rPr>
                <w:sz w:val="18"/>
                <w:szCs w:val="18"/>
              </w:rPr>
              <w:t>5.</w:t>
            </w:r>
          </w:p>
        </w:tc>
        <w:tc>
          <w:tcPr>
            <w:tcW w:w="1415" w:type="pct"/>
            <w:shd w:val="clear" w:color="auto" w:fill="auto"/>
            <w:vAlign w:val="center"/>
          </w:tcPr>
          <w:p w14:paraId="548EC487">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04165C4B">
            <w:pPr>
              <w:pStyle w:val="150"/>
              <w:jc w:val="left"/>
              <w:rPr>
                <w:sz w:val="18"/>
                <w:szCs w:val="18"/>
              </w:rPr>
            </w:pPr>
            <w:r>
              <w:rPr>
                <w:sz w:val="18"/>
                <w:szCs w:val="18"/>
              </w:rPr>
              <w:t>Ispitivanja vodonepropusnosti građevina za odvodnju i pročišćavanje otpadnih voda</w:t>
            </w:r>
          </w:p>
        </w:tc>
        <w:tc>
          <w:tcPr>
            <w:tcW w:w="1813" w:type="pct"/>
            <w:shd w:val="clear" w:color="auto" w:fill="auto"/>
            <w:vAlign w:val="center"/>
          </w:tcPr>
          <w:p w14:paraId="68DF5647">
            <w:pPr>
              <w:pStyle w:val="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Klasa: UP/I-325-07/24-01/02</w:t>
            </w:r>
          </w:p>
          <w:p w14:paraId="5AFDC200">
            <w:pPr>
              <w:pStyle w:val="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Urbroj: 517-09-3-1-1-24-3</w:t>
            </w:r>
          </w:p>
          <w:p w14:paraId="54085C88">
            <w:pPr>
              <w:pStyle w:val="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Datum izdavanja ovlaštenja: 05.03.2024.</w:t>
            </w:r>
          </w:p>
          <w:p w14:paraId="5FD2A1C6">
            <w:pPr>
              <w:pStyle w:val="150"/>
              <w:jc w:val="left"/>
              <w:rPr>
                <w:sz w:val="18"/>
                <w:szCs w:val="18"/>
              </w:rPr>
            </w:pPr>
            <w:r>
              <w:rPr>
                <w:color w:val="000000" w:themeColor="text1"/>
                <w:sz w:val="18"/>
                <w:szCs w:val="18"/>
                <w14:textFill>
                  <w14:solidFill>
                    <w14:schemeClr w14:val="tx1"/>
                  </w14:solidFill>
                </w14:textFill>
              </w:rPr>
              <w:t>Ovlaštenje vrijedi do: 05.03.2034.</w:t>
            </w:r>
          </w:p>
        </w:tc>
      </w:tr>
      <w:tr w14:paraId="778F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28A02E52">
            <w:pPr>
              <w:pStyle w:val="150"/>
              <w:jc w:val="left"/>
              <w:rPr>
                <w:sz w:val="18"/>
                <w:szCs w:val="18"/>
              </w:rPr>
            </w:pPr>
            <w:r>
              <w:rPr>
                <w:sz w:val="18"/>
                <w:szCs w:val="18"/>
              </w:rPr>
              <w:t>6.</w:t>
            </w:r>
          </w:p>
        </w:tc>
        <w:tc>
          <w:tcPr>
            <w:tcW w:w="1415" w:type="pct"/>
            <w:shd w:val="clear" w:color="auto" w:fill="auto"/>
            <w:vAlign w:val="center"/>
          </w:tcPr>
          <w:p w14:paraId="241DD908">
            <w:pPr>
              <w:pStyle w:val="150"/>
              <w:jc w:val="left"/>
              <w:rPr>
                <w:sz w:val="18"/>
                <w:szCs w:val="18"/>
              </w:rPr>
            </w:pPr>
            <w:r>
              <w:rPr>
                <w:sz w:val="18"/>
                <w:szCs w:val="18"/>
              </w:rPr>
              <w:t>Služba za zdravstvenu ekologiju</w:t>
            </w:r>
          </w:p>
        </w:tc>
        <w:tc>
          <w:tcPr>
            <w:tcW w:w="1469" w:type="pct"/>
            <w:shd w:val="clear" w:color="auto" w:fill="auto"/>
            <w:vAlign w:val="center"/>
          </w:tcPr>
          <w:p w14:paraId="281BC832">
            <w:pPr>
              <w:pStyle w:val="150"/>
              <w:jc w:val="left"/>
              <w:rPr>
                <w:sz w:val="18"/>
                <w:szCs w:val="18"/>
              </w:rPr>
            </w:pPr>
            <w:r>
              <w:rPr>
                <w:sz w:val="18"/>
                <w:szCs w:val="18"/>
              </w:rPr>
              <w:t>Referentni laboratorij za ispitivanje pesticida</w:t>
            </w:r>
          </w:p>
        </w:tc>
        <w:tc>
          <w:tcPr>
            <w:tcW w:w="1813" w:type="pct"/>
            <w:shd w:val="clear" w:color="auto" w:fill="auto"/>
            <w:vAlign w:val="center"/>
          </w:tcPr>
          <w:p w14:paraId="4CDBFA29">
            <w:pPr>
              <w:pStyle w:val="150"/>
              <w:jc w:val="left"/>
              <w:rPr>
                <w:sz w:val="18"/>
                <w:szCs w:val="18"/>
              </w:rPr>
            </w:pPr>
            <w:r>
              <w:rPr>
                <w:sz w:val="18"/>
                <w:szCs w:val="18"/>
              </w:rPr>
              <w:t>Klasa:UP/I-322-01/17-01/120</w:t>
            </w:r>
          </w:p>
          <w:p w14:paraId="2E18C220">
            <w:pPr>
              <w:pStyle w:val="150"/>
              <w:jc w:val="left"/>
              <w:rPr>
                <w:sz w:val="18"/>
                <w:szCs w:val="18"/>
              </w:rPr>
            </w:pPr>
            <w:r>
              <w:rPr>
                <w:sz w:val="18"/>
                <w:szCs w:val="18"/>
              </w:rPr>
              <w:t>Urbroj: 525-10/0766-19-16</w:t>
            </w:r>
          </w:p>
          <w:p w14:paraId="06DC0731">
            <w:pPr>
              <w:pStyle w:val="150"/>
              <w:jc w:val="left"/>
              <w:rPr>
                <w:sz w:val="18"/>
                <w:szCs w:val="18"/>
              </w:rPr>
            </w:pPr>
            <w:r>
              <w:rPr>
                <w:sz w:val="18"/>
                <w:szCs w:val="18"/>
              </w:rPr>
              <w:t>Datum izdavanja ovlaštenja: 04.01.2019.</w:t>
            </w:r>
          </w:p>
          <w:p w14:paraId="420C93CE">
            <w:pPr>
              <w:pStyle w:val="150"/>
              <w:jc w:val="left"/>
              <w:rPr>
                <w:sz w:val="18"/>
                <w:szCs w:val="18"/>
              </w:rPr>
            </w:pPr>
            <w:r>
              <w:rPr>
                <w:sz w:val="18"/>
                <w:szCs w:val="18"/>
              </w:rPr>
              <w:t>Ovlaštenje vrijedi do: opoziva</w:t>
            </w:r>
          </w:p>
        </w:tc>
      </w:tr>
      <w:tr w14:paraId="4175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478E4F3A">
            <w:pPr>
              <w:pStyle w:val="150"/>
              <w:jc w:val="left"/>
              <w:rPr>
                <w:sz w:val="18"/>
                <w:szCs w:val="18"/>
              </w:rPr>
            </w:pPr>
            <w:r>
              <w:rPr>
                <w:sz w:val="18"/>
                <w:szCs w:val="18"/>
              </w:rPr>
              <w:t>7.</w:t>
            </w:r>
          </w:p>
        </w:tc>
        <w:tc>
          <w:tcPr>
            <w:tcW w:w="1415" w:type="pct"/>
            <w:shd w:val="clear" w:color="auto" w:fill="auto"/>
            <w:vAlign w:val="center"/>
          </w:tcPr>
          <w:p w14:paraId="39824C4C">
            <w:pPr>
              <w:pStyle w:val="150"/>
              <w:jc w:val="left"/>
              <w:rPr>
                <w:sz w:val="18"/>
                <w:szCs w:val="18"/>
              </w:rPr>
            </w:pPr>
            <w:r>
              <w:rPr>
                <w:sz w:val="18"/>
                <w:szCs w:val="18"/>
              </w:rPr>
              <w:t>Služba za zdravstvenu ekologiju</w:t>
            </w:r>
          </w:p>
        </w:tc>
        <w:tc>
          <w:tcPr>
            <w:tcW w:w="1469" w:type="pct"/>
            <w:shd w:val="clear" w:color="auto" w:fill="auto"/>
            <w:vAlign w:val="center"/>
          </w:tcPr>
          <w:p w14:paraId="56B5CC7C">
            <w:pPr>
              <w:pStyle w:val="150"/>
              <w:jc w:val="left"/>
              <w:rPr>
                <w:sz w:val="18"/>
                <w:szCs w:val="18"/>
              </w:rPr>
            </w:pPr>
            <w:r>
              <w:rPr>
                <w:sz w:val="18"/>
                <w:szCs w:val="18"/>
              </w:rPr>
              <w:t>Referentni laboratorij za ispitivanje biljnih toksina u hrani i hrani za životinje</w:t>
            </w:r>
          </w:p>
        </w:tc>
        <w:tc>
          <w:tcPr>
            <w:tcW w:w="1813" w:type="pct"/>
            <w:shd w:val="clear" w:color="auto" w:fill="auto"/>
            <w:vAlign w:val="center"/>
          </w:tcPr>
          <w:p w14:paraId="177298D3">
            <w:pPr>
              <w:pStyle w:val="150"/>
              <w:jc w:val="left"/>
              <w:rPr>
                <w:sz w:val="18"/>
                <w:szCs w:val="18"/>
              </w:rPr>
            </w:pPr>
            <w:r>
              <w:rPr>
                <w:sz w:val="18"/>
                <w:szCs w:val="18"/>
              </w:rPr>
              <w:t>Klasa:UP/I-322-01/21-01/34</w:t>
            </w:r>
          </w:p>
          <w:p w14:paraId="225DA016">
            <w:pPr>
              <w:pStyle w:val="150"/>
              <w:jc w:val="left"/>
              <w:rPr>
                <w:sz w:val="18"/>
                <w:szCs w:val="18"/>
              </w:rPr>
            </w:pPr>
            <w:r>
              <w:rPr>
                <w:sz w:val="18"/>
                <w:szCs w:val="18"/>
              </w:rPr>
              <w:t>Urbroj: 525-10/1304-21-3</w:t>
            </w:r>
          </w:p>
          <w:p w14:paraId="7CD31FC4">
            <w:pPr>
              <w:pStyle w:val="150"/>
              <w:jc w:val="left"/>
              <w:rPr>
                <w:sz w:val="18"/>
                <w:szCs w:val="18"/>
              </w:rPr>
            </w:pPr>
            <w:r>
              <w:rPr>
                <w:sz w:val="18"/>
                <w:szCs w:val="18"/>
              </w:rPr>
              <w:t>Datum izdavanja ovlaštenja: 06.12.2021.</w:t>
            </w:r>
          </w:p>
          <w:p w14:paraId="4A768FBF">
            <w:pPr>
              <w:pStyle w:val="150"/>
              <w:jc w:val="left"/>
              <w:rPr>
                <w:sz w:val="18"/>
                <w:szCs w:val="18"/>
              </w:rPr>
            </w:pPr>
            <w:r>
              <w:rPr>
                <w:sz w:val="18"/>
                <w:szCs w:val="18"/>
              </w:rPr>
              <w:t>Ovlaštenje vrijedi do: opoziva</w:t>
            </w:r>
          </w:p>
        </w:tc>
      </w:tr>
      <w:tr w14:paraId="5C6A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5401997F">
            <w:pPr>
              <w:pStyle w:val="150"/>
              <w:jc w:val="left"/>
              <w:rPr>
                <w:sz w:val="18"/>
                <w:szCs w:val="18"/>
              </w:rPr>
            </w:pPr>
            <w:r>
              <w:rPr>
                <w:sz w:val="18"/>
                <w:szCs w:val="18"/>
              </w:rPr>
              <w:t>Ministarstvo zdravstva</w:t>
            </w:r>
          </w:p>
        </w:tc>
      </w:tr>
      <w:tr w14:paraId="4CBA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7BADE320">
            <w:pPr>
              <w:pStyle w:val="150"/>
              <w:jc w:val="left"/>
              <w:rPr>
                <w:sz w:val="18"/>
                <w:szCs w:val="18"/>
              </w:rPr>
            </w:pPr>
            <w:r>
              <w:rPr>
                <w:sz w:val="18"/>
                <w:szCs w:val="18"/>
              </w:rPr>
              <w:t>8.</w:t>
            </w:r>
          </w:p>
        </w:tc>
        <w:tc>
          <w:tcPr>
            <w:tcW w:w="1415" w:type="pct"/>
            <w:shd w:val="clear" w:color="auto" w:fill="auto"/>
            <w:vAlign w:val="center"/>
          </w:tcPr>
          <w:p w14:paraId="58EF4A52">
            <w:pPr>
              <w:pStyle w:val="150"/>
              <w:jc w:val="left"/>
              <w:rPr>
                <w:sz w:val="18"/>
                <w:szCs w:val="18"/>
              </w:rPr>
            </w:pPr>
            <w:r>
              <w:rPr>
                <w:sz w:val="18"/>
                <w:szCs w:val="18"/>
              </w:rPr>
              <w:t>Nastavni zavod za javno zdravstvo „Dr. Andrija Štampar“ – Referentni centar Ministarstva zdravstva i socijalne skrbi za ispitivanje zdravstvene ispravnosti hrane</w:t>
            </w:r>
          </w:p>
        </w:tc>
        <w:tc>
          <w:tcPr>
            <w:tcW w:w="1469" w:type="pct"/>
            <w:shd w:val="clear" w:color="auto" w:fill="auto"/>
            <w:vAlign w:val="center"/>
          </w:tcPr>
          <w:p w14:paraId="6F0303D4">
            <w:pPr>
              <w:pStyle w:val="150"/>
              <w:jc w:val="left"/>
              <w:rPr>
                <w:sz w:val="18"/>
                <w:szCs w:val="18"/>
              </w:rPr>
            </w:pPr>
            <w:r>
              <w:rPr>
                <w:sz w:val="18"/>
                <w:szCs w:val="18"/>
              </w:rPr>
              <w:t>Ispitivanje zdravstvene ispravnosti hrane</w:t>
            </w:r>
          </w:p>
        </w:tc>
        <w:tc>
          <w:tcPr>
            <w:tcW w:w="1813" w:type="pct"/>
            <w:shd w:val="clear" w:color="auto" w:fill="auto"/>
            <w:vAlign w:val="center"/>
          </w:tcPr>
          <w:p w14:paraId="61B6C643">
            <w:pPr>
              <w:pStyle w:val="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Klasa: UP/I-510-01/15-01/31</w:t>
            </w:r>
          </w:p>
          <w:p w14:paraId="3BE0E80F">
            <w:pPr>
              <w:pStyle w:val="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Urbroj: 534-04-1-2/7-16-14 </w:t>
            </w:r>
          </w:p>
          <w:p w14:paraId="3E335A9F">
            <w:pPr>
              <w:pStyle w:val="15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Datum izdavanja ovlaštenja: 14.07.2016. – novo ovlaštenje na potpisu kod ministrice</w:t>
            </w:r>
          </w:p>
          <w:p w14:paraId="53285110">
            <w:pPr>
              <w:pStyle w:val="150"/>
              <w:jc w:val="left"/>
              <w:rPr>
                <w:sz w:val="18"/>
                <w:szCs w:val="18"/>
              </w:rPr>
            </w:pPr>
            <w:r>
              <w:rPr>
                <w:sz w:val="18"/>
                <w:szCs w:val="18"/>
              </w:rPr>
              <w:t>Ovlaštenje vrijedi do: 14.07.2021.</w:t>
            </w:r>
          </w:p>
        </w:tc>
      </w:tr>
      <w:tr w14:paraId="2E2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33A61000">
            <w:pPr>
              <w:pStyle w:val="150"/>
              <w:jc w:val="left"/>
              <w:rPr>
                <w:sz w:val="18"/>
                <w:szCs w:val="18"/>
              </w:rPr>
            </w:pPr>
            <w:r>
              <w:rPr>
                <w:sz w:val="18"/>
                <w:szCs w:val="18"/>
              </w:rPr>
              <w:t>9.</w:t>
            </w:r>
          </w:p>
        </w:tc>
        <w:tc>
          <w:tcPr>
            <w:tcW w:w="1415" w:type="pct"/>
            <w:shd w:val="clear" w:color="auto" w:fill="auto"/>
            <w:vAlign w:val="center"/>
          </w:tcPr>
          <w:p w14:paraId="04C0A246">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6D1E1BD6">
            <w:pPr>
              <w:pStyle w:val="150"/>
              <w:jc w:val="left"/>
              <w:rPr>
                <w:spacing w:val="-6"/>
                <w:sz w:val="18"/>
                <w:szCs w:val="18"/>
              </w:rPr>
            </w:pPr>
            <w:r>
              <w:rPr>
                <w:spacing w:val="-6"/>
                <w:sz w:val="18"/>
                <w:szCs w:val="18"/>
              </w:rPr>
              <w:t>Uporaba izvora elektromagnetskog polja uređaja SPEEDWAVE</w:t>
            </w:r>
          </w:p>
        </w:tc>
        <w:tc>
          <w:tcPr>
            <w:tcW w:w="1813" w:type="pct"/>
            <w:shd w:val="clear" w:color="auto" w:fill="auto"/>
            <w:vAlign w:val="center"/>
          </w:tcPr>
          <w:p w14:paraId="371EDABA">
            <w:pPr>
              <w:pStyle w:val="150"/>
              <w:jc w:val="left"/>
              <w:rPr>
                <w:sz w:val="18"/>
                <w:szCs w:val="18"/>
              </w:rPr>
            </w:pPr>
            <w:r>
              <w:rPr>
                <w:sz w:val="18"/>
                <w:szCs w:val="18"/>
              </w:rPr>
              <w:t>Klasa: UP/I-542-04/23-01/601</w:t>
            </w:r>
          </w:p>
          <w:p w14:paraId="35B9E052">
            <w:pPr>
              <w:pStyle w:val="150"/>
              <w:jc w:val="left"/>
              <w:rPr>
                <w:sz w:val="18"/>
                <w:szCs w:val="18"/>
              </w:rPr>
            </w:pPr>
            <w:r>
              <w:rPr>
                <w:sz w:val="18"/>
                <w:szCs w:val="18"/>
              </w:rPr>
              <w:t>Urbroj: 534-03-3-2/2-23-02</w:t>
            </w:r>
          </w:p>
          <w:p w14:paraId="36DF7FF5">
            <w:pPr>
              <w:pStyle w:val="150"/>
              <w:jc w:val="left"/>
              <w:rPr>
                <w:sz w:val="18"/>
                <w:szCs w:val="18"/>
              </w:rPr>
            </w:pPr>
            <w:r>
              <w:rPr>
                <w:sz w:val="18"/>
                <w:szCs w:val="18"/>
              </w:rPr>
              <w:t>Datum izdavanja ovlaštenja: 10.05.2023.</w:t>
            </w:r>
          </w:p>
          <w:p w14:paraId="373CAF7F">
            <w:pPr>
              <w:pStyle w:val="150"/>
              <w:jc w:val="left"/>
              <w:rPr>
                <w:sz w:val="18"/>
                <w:szCs w:val="18"/>
                <w:highlight w:val="magenta"/>
              </w:rPr>
            </w:pPr>
            <w:r>
              <w:rPr>
                <w:sz w:val="18"/>
                <w:szCs w:val="18"/>
              </w:rPr>
              <w:t>Ovlaštenje vrijedi do: 03.05.2025.</w:t>
            </w:r>
          </w:p>
        </w:tc>
      </w:tr>
      <w:tr w14:paraId="5D76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6F783BCE">
            <w:pPr>
              <w:pStyle w:val="150"/>
              <w:jc w:val="left"/>
              <w:rPr>
                <w:sz w:val="18"/>
                <w:szCs w:val="18"/>
              </w:rPr>
            </w:pPr>
            <w:r>
              <w:rPr>
                <w:sz w:val="18"/>
                <w:szCs w:val="18"/>
              </w:rPr>
              <w:t>10.</w:t>
            </w:r>
          </w:p>
        </w:tc>
        <w:tc>
          <w:tcPr>
            <w:tcW w:w="1415" w:type="pct"/>
            <w:shd w:val="clear" w:color="auto" w:fill="auto"/>
            <w:vAlign w:val="center"/>
          </w:tcPr>
          <w:p w14:paraId="729B530E">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4BCE3ECA">
            <w:pPr>
              <w:pStyle w:val="150"/>
              <w:jc w:val="left"/>
              <w:rPr>
                <w:spacing w:val="-6"/>
                <w:sz w:val="18"/>
                <w:szCs w:val="18"/>
              </w:rPr>
            </w:pPr>
            <w:r>
              <w:rPr>
                <w:spacing w:val="-6"/>
                <w:sz w:val="18"/>
                <w:szCs w:val="18"/>
              </w:rPr>
              <w:t>Uporaba izvora elektromagnetskog polja uređaja ETHOS – SEL</w:t>
            </w:r>
          </w:p>
        </w:tc>
        <w:tc>
          <w:tcPr>
            <w:tcW w:w="1813" w:type="pct"/>
            <w:shd w:val="clear" w:color="auto" w:fill="auto"/>
            <w:vAlign w:val="center"/>
          </w:tcPr>
          <w:p w14:paraId="424BAB37">
            <w:pPr>
              <w:pStyle w:val="150"/>
              <w:jc w:val="left"/>
              <w:rPr>
                <w:sz w:val="18"/>
                <w:szCs w:val="18"/>
              </w:rPr>
            </w:pPr>
            <w:r>
              <w:rPr>
                <w:sz w:val="18"/>
                <w:szCs w:val="18"/>
              </w:rPr>
              <w:t>Klasa: UPI/I-542-04/23-01/604</w:t>
            </w:r>
          </w:p>
          <w:p w14:paraId="6BF44308">
            <w:pPr>
              <w:pStyle w:val="150"/>
              <w:jc w:val="left"/>
              <w:rPr>
                <w:sz w:val="18"/>
                <w:szCs w:val="18"/>
              </w:rPr>
            </w:pPr>
            <w:r>
              <w:rPr>
                <w:sz w:val="18"/>
                <w:szCs w:val="18"/>
              </w:rPr>
              <w:t>Urbroj 534-03-3-2/2-23-02</w:t>
            </w:r>
          </w:p>
          <w:p w14:paraId="14BC72E2">
            <w:pPr>
              <w:pStyle w:val="150"/>
              <w:jc w:val="left"/>
              <w:rPr>
                <w:sz w:val="18"/>
                <w:szCs w:val="18"/>
              </w:rPr>
            </w:pPr>
            <w:r>
              <w:rPr>
                <w:sz w:val="18"/>
                <w:szCs w:val="18"/>
              </w:rPr>
              <w:t xml:space="preserve">Datum izdavanja ovlaštenja: 10.05.2023. </w:t>
            </w:r>
          </w:p>
          <w:p w14:paraId="1C900E03">
            <w:pPr>
              <w:pStyle w:val="150"/>
              <w:jc w:val="left"/>
              <w:rPr>
                <w:sz w:val="18"/>
                <w:szCs w:val="18"/>
                <w:highlight w:val="magenta"/>
              </w:rPr>
            </w:pPr>
            <w:r>
              <w:rPr>
                <w:sz w:val="18"/>
                <w:szCs w:val="18"/>
              </w:rPr>
              <w:t>Ovlaštenje vrijedi do: 03.05.2025.</w:t>
            </w:r>
          </w:p>
        </w:tc>
      </w:tr>
      <w:tr w14:paraId="055E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1EB3192F">
            <w:pPr>
              <w:pStyle w:val="150"/>
              <w:jc w:val="left"/>
              <w:rPr>
                <w:sz w:val="18"/>
                <w:szCs w:val="18"/>
              </w:rPr>
            </w:pPr>
            <w:r>
              <w:rPr>
                <w:sz w:val="18"/>
                <w:szCs w:val="18"/>
              </w:rPr>
              <w:t>11.</w:t>
            </w:r>
          </w:p>
        </w:tc>
        <w:tc>
          <w:tcPr>
            <w:tcW w:w="1415" w:type="pct"/>
            <w:shd w:val="clear" w:color="auto" w:fill="auto"/>
            <w:vAlign w:val="center"/>
          </w:tcPr>
          <w:p w14:paraId="57D9D75F">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5B28334C">
            <w:pPr>
              <w:pStyle w:val="150"/>
              <w:jc w:val="left"/>
              <w:rPr>
                <w:sz w:val="18"/>
                <w:szCs w:val="18"/>
              </w:rPr>
            </w:pPr>
            <w:r>
              <w:rPr>
                <w:sz w:val="18"/>
                <w:szCs w:val="18"/>
              </w:rPr>
              <w:t>Dozvola (licenca) za posjedovanje droga i psihotropnih tvari</w:t>
            </w:r>
          </w:p>
        </w:tc>
        <w:tc>
          <w:tcPr>
            <w:tcW w:w="1813" w:type="pct"/>
            <w:shd w:val="clear" w:color="auto" w:fill="auto"/>
            <w:vAlign w:val="center"/>
          </w:tcPr>
          <w:p w14:paraId="3044D802">
            <w:pPr>
              <w:pStyle w:val="150"/>
              <w:jc w:val="left"/>
              <w:rPr>
                <w:sz w:val="18"/>
                <w:szCs w:val="18"/>
              </w:rPr>
            </w:pPr>
            <w:r>
              <w:rPr>
                <w:sz w:val="18"/>
                <w:szCs w:val="18"/>
              </w:rPr>
              <w:t>Klasa: 530-08/17-03/12</w:t>
            </w:r>
          </w:p>
          <w:p w14:paraId="5C1F7FB2">
            <w:pPr>
              <w:pStyle w:val="150"/>
              <w:jc w:val="left"/>
              <w:rPr>
                <w:sz w:val="18"/>
                <w:szCs w:val="18"/>
              </w:rPr>
            </w:pPr>
            <w:r>
              <w:rPr>
                <w:sz w:val="18"/>
                <w:szCs w:val="18"/>
              </w:rPr>
              <w:t>Urbroj: 543-03-4-2/1-17/02</w:t>
            </w:r>
          </w:p>
          <w:p w14:paraId="3F72A7A1">
            <w:pPr>
              <w:pStyle w:val="150"/>
              <w:jc w:val="left"/>
              <w:rPr>
                <w:sz w:val="18"/>
                <w:szCs w:val="18"/>
              </w:rPr>
            </w:pPr>
            <w:r>
              <w:rPr>
                <w:sz w:val="18"/>
                <w:szCs w:val="18"/>
              </w:rPr>
              <w:t xml:space="preserve">Datum izdavanja ovlaštenja: 29.09.2017. </w:t>
            </w:r>
          </w:p>
          <w:p w14:paraId="2C95AEC5">
            <w:pPr>
              <w:pStyle w:val="150"/>
              <w:jc w:val="left"/>
              <w:rPr>
                <w:sz w:val="18"/>
                <w:szCs w:val="18"/>
              </w:rPr>
            </w:pPr>
            <w:r>
              <w:rPr>
                <w:sz w:val="18"/>
                <w:szCs w:val="18"/>
              </w:rPr>
              <w:t>Ovlaštenje vrijedi do: opoziva</w:t>
            </w:r>
          </w:p>
        </w:tc>
      </w:tr>
      <w:tr w14:paraId="47C5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16B67E0E">
            <w:pPr>
              <w:pStyle w:val="150"/>
              <w:jc w:val="left"/>
              <w:rPr>
                <w:sz w:val="18"/>
                <w:szCs w:val="18"/>
              </w:rPr>
            </w:pPr>
            <w:r>
              <w:rPr>
                <w:sz w:val="18"/>
                <w:szCs w:val="18"/>
              </w:rPr>
              <w:t>12.</w:t>
            </w:r>
          </w:p>
        </w:tc>
        <w:tc>
          <w:tcPr>
            <w:tcW w:w="1415" w:type="pct"/>
            <w:shd w:val="clear" w:color="auto" w:fill="auto"/>
            <w:vAlign w:val="center"/>
          </w:tcPr>
          <w:p w14:paraId="720E8FC9">
            <w:pPr>
              <w:pStyle w:val="150"/>
              <w:jc w:val="left"/>
              <w:rPr>
                <w:sz w:val="18"/>
                <w:szCs w:val="18"/>
              </w:rPr>
            </w:pPr>
            <w:r>
              <w:rPr>
                <w:sz w:val="18"/>
                <w:szCs w:val="18"/>
              </w:rPr>
              <w:t xml:space="preserve">Nastavni zavod za javno zdravstvo „Dr. Andrija Štampar“ </w:t>
            </w:r>
          </w:p>
        </w:tc>
        <w:tc>
          <w:tcPr>
            <w:tcW w:w="1469" w:type="pct"/>
            <w:shd w:val="clear" w:color="auto" w:fill="auto"/>
            <w:vAlign w:val="center"/>
          </w:tcPr>
          <w:p w14:paraId="33AF14C5">
            <w:pPr>
              <w:pStyle w:val="150"/>
              <w:jc w:val="left"/>
              <w:rPr>
                <w:sz w:val="18"/>
                <w:szCs w:val="18"/>
              </w:rPr>
            </w:pPr>
            <w:r>
              <w:rPr>
                <w:sz w:val="18"/>
                <w:szCs w:val="18"/>
              </w:rPr>
              <w:t>Provođenje monitoringa i drugih službenih kontrola vode za ljudsku potrošnju te ispitivanja zdravstvene ispravnosti vode za ljudsku potrošnju u građevinama prije izdavanja uporabne dozvole</w:t>
            </w:r>
          </w:p>
        </w:tc>
        <w:tc>
          <w:tcPr>
            <w:tcW w:w="1813" w:type="pct"/>
            <w:shd w:val="clear" w:color="auto" w:fill="auto"/>
            <w:vAlign w:val="center"/>
          </w:tcPr>
          <w:p w14:paraId="5EBCA20E">
            <w:pPr>
              <w:pStyle w:val="150"/>
              <w:jc w:val="left"/>
              <w:rPr>
                <w:sz w:val="18"/>
                <w:szCs w:val="18"/>
              </w:rPr>
            </w:pPr>
            <w:r>
              <w:rPr>
                <w:sz w:val="18"/>
                <w:szCs w:val="18"/>
              </w:rPr>
              <w:t>Klasa: UP/I-541-03/21-02/22</w:t>
            </w:r>
          </w:p>
          <w:p w14:paraId="05A1E0C9">
            <w:pPr>
              <w:pStyle w:val="150"/>
              <w:jc w:val="left"/>
              <w:rPr>
                <w:sz w:val="18"/>
                <w:szCs w:val="18"/>
              </w:rPr>
            </w:pPr>
            <w:r>
              <w:rPr>
                <w:sz w:val="18"/>
                <w:szCs w:val="18"/>
              </w:rPr>
              <w:t>Urbroj: 534-03-3-2/6-21-4</w:t>
            </w:r>
          </w:p>
          <w:p w14:paraId="2E392F80">
            <w:pPr>
              <w:pStyle w:val="150"/>
              <w:jc w:val="left"/>
              <w:rPr>
                <w:sz w:val="18"/>
                <w:szCs w:val="18"/>
              </w:rPr>
            </w:pPr>
            <w:r>
              <w:rPr>
                <w:sz w:val="18"/>
                <w:szCs w:val="18"/>
              </w:rPr>
              <w:t>Datum izdavanja ovlaštenja: 11.02.2021.</w:t>
            </w:r>
          </w:p>
          <w:p w14:paraId="62E008FB">
            <w:pPr>
              <w:pStyle w:val="150"/>
              <w:jc w:val="left"/>
              <w:rPr>
                <w:sz w:val="18"/>
                <w:szCs w:val="18"/>
              </w:rPr>
            </w:pPr>
            <w:r>
              <w:rPr>
                <w:sz w:val="18"/>
                <w:szCs w:val="18"/>
              </w:rPr>
              <w:t>Ovlaštenje vrijedi do: opoziva</w:t>
            </w:r>
          </w:p>
        </w:tc>
      </w:tr>
      <w:tr w14:paraId="09CF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7B7EE7F7">
            <w:pPr>
              <w:pStyle w:val="150"/>
              <w:jc w:val="left"/>
              <w:rPr>
                <w:sz w:val="18"/>
                <w:szCs w:val="18"/>
              </w:rPr>
            </w:pPr>
            <w:r>
              <w:rPr>
                <w:sz w:val="18"/>
                <w:szCs w:val="18"/>
              </w:rPr>
              <w:t>13.</w:t>
            </w:r>
          </w:p>
        </w:tc>
        <w:tc>
          <w:tcPr>
            <w:tcW w:w="1415" w:type="pct"/>
            <w:shd w:val="clear" w:color="auto" w:fill="auto"/>
            <w:vAlign w:val="center"/>
          </w:tcPr>
          <w:p w14:paraId="4E95FA9F">
            <w:pPr>
              <w:pStyle w:val="150"/>
              <w:jc w:val="left"/>
              <w:rPr>
                <w:sz w:val="18"/>
                <w:szCs w:val="18"/>
              </w:rPr>
            </w:pPr>
            <w:r>
              <w:rPr>
                <w:sz w:val="18"/>
                <w:szCs w:val="18"/>
              </w:rPr>
              <w:t>Služba za zdravstvenu ekologiju</w:t>
            </w:r>
          </w:p>
        </w:tc>
        <w:tc>
          <w:tcPr>
            <w:tcW w:w="1469" w:type="pct"/>
            <w:shd w:val="clear" w:color="auto" w:fill="auto"/>
            <w:vAlign w:val="center"/>
          </w:tcPr>
          <w:p w14:paraId="6ABC8465">
            <w:pPr>
              <w:pStyle w:val="150"/>
              <w:jc w:val="left"/>
              <w:rPr>
                <w:sz w:val="18"/>
                <w:szCs w:val="18"/>
              </w:rPr>
            </w:pPr>
            <w:r>
              <w:rPr>
                <w:sz w:val="18"/>
                <w:szCs w:val="18"/>
              </w:rPr>
              <w:t>Određivanje laboratorija u svrhu ispitivanja kortikosteroida u dodacima prehrani</w:t>
            </w:r>
          </w:p>
        </w:tc>
        <w:tc>
          <w:tcPr>
            <w:tcW w:w="1813" w:type="pct"/>
            <w:shd w:val="clear" w:color="auto" w:fill="auto"/>
            <w:vAlign w:val="center"/>
          </w:tcPr>
          <w:p w14:paraId="5D300057">
            <w:pPr>
              <w:pStyle w:val="150"/>
              <w:jc w:val="left"/>
              <w:rPr>
                <w:sz w:val="18"/>
                <w:szCs w:val="18"/>
              </w:rPr>
            </w:pPr>
            <w:r>
              <w:rPr>
                <w:sz w:val="18"/>
                <w:szCs w:val="18"/>
              </w:rPr>
              <w:t>Klasa: 322-01/17-01/357</w:t>
            </w:r>
          </w:p>
          <w:p w14:paraId="1589E7CB">
            <w:pPr>
              <w:pStyle w:val="150"/>
              <w:jc w:val="left"/>
              <w:rPr>
                <w:sz w:val="18"/>
                <w:szCs w:val="18"/>
              </w:rPr>
            </w:pPr>
            <w:r>
              <w:rPr>
                <w:sz w:val="18"/>
                <w:szCs w:val="18"/>
              </w:rPr>
              <w:t>Urbroj: 525-10/1308-17-4</w:t>
            </w:r>
          </w:p>
          <w:p w14:paraId="668E1695">
            <w:pPr>
              <w:pStyle w:val="150"/>
              <w:jc w:val="left"/>
              <w:rPr>
                <w:sz w:val="18"/>
                <w:szCs w:val="18"/>
              </w:rPr>
            </w:pPr>
            <w:r>
              <w:rPr>
                <w:sz w:val="18"/>
                <w:szCs w:val="18"/>
              </w:rPr>
              <w:t>Datum: 15.03.2017.</w:t>
            </w:r>
          </w:p>
          <w:p w14:paraId="7405490A">
            <w:pPr>
              <w:pStyle w:val="150"/>
              <w:jc w:val="left"/>
              <w:rPr>
                <w:sz w:val="18"/>
                <w:szCs w:val="18"/>
              </w:rPr>
            </w:pPr>
            <w:r>
              <w:rPr>
                <w:sz w:val="18"/>
                <w:szCs w:val="18"/>
              </w:rPr>
              <w:t>Ovlaštenje vrijedi do: opoziva</w:t>
            </w:r>
          </w:p>
        </w:tc>
      </w:tr>
      <w:tr w14:paraId="449A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081AA853">
            <w:pPr>
              <w:pStyle w:val="150"/>
              <w:jc w:val="left"/>
              <w:rPr>
                <w:sz w:val="18"/>
                <w:szCs w:val="18"/>
              </w:rPr>
            </w:pPr>
            <w:r>
              <w:rPr>
                <w:sz w:val="18"/>
                <w:szCs w:val="18"/>
              </w:rPr>
              <w:t>14.</w:t>
            </w:r>
          </w:p>
        </w:tc>
        <w:tc>
          <w:tcPr>
            <w:tcW w:w="1415" w:type="pct"/>
            <w:shd w:val="clear" w:color="auto" w:fill="auto"/>
            <w:vAlign w:val="center"/>
          </w:tcPr>
          <w:p w14:paraId="01B825DD">
            <w:pPr>
              <w:pStyle w:val="150"/>
              <w:jc w:val="left"/>
              <w:rPr>
                <w:sz w:val="18"/>
                <w:szCs w:val="18"/>
              </w:rPr>
            </w:pPr>
            <w:r>
              <w:rPr>
                <w:sz w:val="18"/>
                <w:szCs w:val="18"/>
              </w:rPr>
              <w:t>Služba za zdravstvenu ekologiju</w:t>
            </w:r>
          </w:p>
        </w:tc>
        <w:tc>
          <w:tcPr>
            <w:tcW w:w="1469" w:type="pct"/>
            <w:shd w:val="clear" w:color="auto" w:fill="auto"/>
            <w:vAlign w:val="center"/>
          </w:tcPr>
          <w:p w14:paraId="10913B1F">
            <w:pPr>
              <w:pStyle w:val="150"/>
              <w:jc w:val="left"/>
              <w:rPr>
                <w:sz w:val="18"/>
                <w:szCs w:val="18"/>
              </w:rPr>
            </w:pPr>
            <w:r>
              <w:rPr>
                <w:sz w:val="18"/>
                <w:szCs w:val="18"/>
              </w:rPr>
              <w:t>za ispitivanje predmeta opće uporabe za potrebe inspekcijskih nadzora i službenih kontrola</w:t>
            </w:r>
          </w:p>
        </w:tc>
        <w:tc>
          <w:tcPr>
            <w:tcW w:w="1813" w:type="pct"/>
            <w:shd w:val="clear" w:color="auto" w:fill="auto"/>
            <w:vAlign w:val="center"/>
          </w:tcPr>
          <w:p w14:paraId="2E95D1B5">
            <w:pPr>
              <w:pStyle w:val="150"/>
              <w:jc w:val="left"/>
              <w:rPr>
                <w:sz w:val="18"/>
                <w:szCs w:val="18"/>
              </w:rPr>
            </w:pPr>
            <w:r>
              <w:rPr>
                <w:sz w:val="18"/>
                <w:szCs w:val="18"/>
              </w:rPr>
              <w:t>Klasa: UP/I-541-02/19-03/19, Ur.broj: 534-03-3-2/2-21-06 od 04.05.2021. Ovlaštenje vrijedi do: opoziva</w:t>
            </w:r>
          </w:p>
        </w:tc>
      </w:tr>
      <w:tr w14:paraId="3503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02EF6507">
            <w:pPr>
              <w:pStyle w:val="150"/>
              <w:jc w:val="left"/>
              <w:rPr>
                <w:sz w:val="18"/>
                <w:szCs w:val="18"/>
              </w:rPr>
            </w:pPr>
            <w:r>
              <w:rPr>
                <w:sz w:val="18"/>
                <w:szCs w:val="18"/>
              </w:rPr>
              <w:t>Ministarstvo gospodarstva i održivog razvoja</w:t>
            </w:r>
          </w:p>
        </w:tc>
      </w:tr>
      <w:tr w14:paraId="0774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602D7D53">
            <w:pPr>
              <w:pStyle w:val="150"/>
              <w:jc w:val="left"/>
              <w:rPr>
                <w:sz w:val="18"/>
                <w:szCs w:val="18"/>
              </w:rPr>
            </w:pPr>
            <w:r>
              <w:rPr>
                <w:sz w:val="18"/>
                <w:szCs w:val="18"/>
              </w:rPr>
              <w:t>15.</w:t>
            </w:r>
          </w:p>
        </w:tc>
        <w:tc>
          <w:tcPr>
            <w:tcW w:w="1415" w:type="pct"/>
            <w:shd w:val="clear" w:color="auto" w:fill="auto"/>
            <w:vAlign w:val="center"/>
          </w:tcPr>
          <w:p w14:paraId="4C2DCAD1">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13CAA2D3">
            <w:pPr>
              <w:pStyle w:val="150"/>
              <w:jc w:val="left"/>
              <w:rPr>
                <w:sz w:val="18"/>
                <w:szCs w:val="18"/>
              </w:rPr>
            </w:pPr>
            <w:r>
              <w:rPr>
                <w:sz w:val="18"/>
                <w:szCs w:val="18"/>
              </w:rPr>
              <w:t>Izrada izvješća o stanju okoliša, izrada sanacijskih elaborata, programa i sanacijskih izvještaja, izrada izvješća o proračunu (inventaru) emisija stakleničkih plinova i drugih emisija onečišćujućih tvari u okoliš, praćenje stanja okoliša, obavljanje stručnih poslova za potrebe Registra onečišćavanja okoliša, izrada elaborata o usklađenosti proizvoda s mjerilima u postupku ishođenja znaka zaštite okoliša „Prijatelj okoliša“ i znaka „EU Ecolabel“</w:t>
            </w:r>
          </w:p>
        </w:tc>
        <w:tc>
          <w:tcPr>
            <w:tcW w:w="1813" w:type="pct"/>
            <w:shd w:val="clear" w:color="auto" w:fill="auto"/>
            <w:vAlign w:val="center"/>
          </w:tcPr>
          <w:p w14:paraId="5FD52588">
            <w:pPr>
              <w:pStyle w:val="150"/>
              <w:jc w:val="left"/>
              <w:rPr>
                <w:sz w:val="18"/>
                <w:szCs w:val="18"/>
              </w:rPr>
            </w:pPr>
            <w:r>
              <w:rPr>
                <w:sz w:val="18"/>
                <w:szCs w:val="18"/>
              </w:rPr>
              <w:t>Klasa: UP/I-351-02/14-08/103</w:t>
            </w:r>
          </w:p>
          <w:p w14:paraId="0F0DCB0B">
            <w:pPr>
              <w:pStyle w:val="150"/>
              <w:jc w:val="left"/>
              <w:rPr>
                <w:sz w:val="18"/>
                <w:szCs w:val="18"/>
              </w:rPr>
            </w:pPr>
            <w:r>
              <w:rPr>
                <w:sz w:val="18"/>
                <w:szCs w:val="18"/>
              </w:rPr>
              <w:t>Urbroj: 517-05-1-2-21-7</w:t>
            </w:r>
          </w:p>
          <w:p w14:paraId="1F332968">
            <w:pPr>
              <w:pStyle w:val="150"/>
              <w:jc w:val="left"/>
              <w:rPr>
                <w:sz w:val="18"/>
                <w:szCs w:val="18"/>
              </w:rPr>
            </w:pPr>
            <w:r>
              <w:rPr>
                <w:sz w:val="18"/>
                <w:szCs w:val="18"/>
              </w:rPr>
              <w:t>Datum izdavanja ovlaštenja: 24.12.2021.</w:t>
            </w:r>
          </w:p>
          <w:p w14:paraId="08C84E68">
            <w:pPr>
              <w:pStyle w:val="150"/>
              <w:jc w:val="left"/>
              <w:rPr>
                <w:sz w:val="18"/>
                <w:szCs w:val="18"/>
              </w:rPr>
            </w:pPr>
            <w:r>
              <w:rPr>
                <w:sz w:val="18"/>
                <w:szCs w:val="18"/>
              </w:rPr>
              <w:t>Ovlaštenje vrijedi do: opoziva</w:t>
            </w:r>
          </w:p>
        </w:tc>
      </w:tr>
      <w:tr w14:paraId="4AFF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1E650BCA">
            <w:pPr>
              <w:pStyle w:val="150"/>
              <w:jc w:val="left"/>
              <w:rPr>
                <w:sz w:val="18"/>
                <w:szCs w:val="18"/>
              </w:rPr>
            </w:pPr>
            <w:r>
              <w:rPr>
                <w:sz w:val="18"/>
                <w:szCs w:val="18"/>
              </w:rPr>
              <w:t>16.</w:t>
            </w:r>
          </w:p>
        </w:tc>
        <w:tc>
          <w:tcPr>
            <w:tcW w:w="1415" w:type="pct"/>
            <w:shd w:val="clear" w:color="auto" w:fill="auto"/>
            <w:vAlign w:val="center"/>
          </w:tcPr>
          <w:p w14:paraId="258219E1">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0B2789E2">
            <w:pPr>
              <w:pStyle w:val="150"/>
              <w:jc w:val="left"/>
              <w:rPr>
                <w:spacing w:val="-4"/>
                <w:sz w:val="18"/>
                <w:szCs w:val="18"/>
              </w:rPr>
            </w:pPr>
            <w:r>
              <w:rPr>
                <w:spacing w:val="-4"/>
                <w:sz w:val="18"/>
                <w:szCs w:val="18"/>
              </w:rPr>
              <w:t>Rješenje o ispunjenju posebnih uvjeta za obavljanje djelatnosti uzimanja uzoraka i ispitivanja voda</w:t>
            </w:r>
          </w:p>
        </w:tc>
        <w:tc>
          <w:tcPr>
            <w:tcW w:w="1813" w:type="pct"/>
            <w:shd w:val="clear" w:color="auto" w:fill="auto"/>
            <w:vAlign w:val="center"/>
          </w:tcPr>
          <w:p w14:paraId="06E15EF9">
            <w:pPr>
              <w:pStyle w:val="150"/>
              <w:jc w:val="left"/>
              <w:rPr>
                <w:sz w:val="18"/>
                <w:szCs w:val="18"/>
              </w:rPr>
            </w:pPr>
            <w:r>
              <w:rPr>
                <w:sz w:val="18"/>
                <w:szCs w:val="18"/>
              </w:rPr>
              <w:t>Klasa: UP/I-325-07/22-02/01</w:t>
            </w:r>
          </w:p>
          <w:p w14:paraId="0F052EF5">
            <w:pPr>
              <w:pStyle w:val="150"/>
              <w:jc w:val="left"/>
              <w:rPr>
                <w:sz w:val="18"/>
                <w:szCs w:val="18"/>
              </w:rPr>
            </w:pPr>
            <w:r>
              <w:rPr>
                <w:sz w:val="18"/>
                <w:szCs w:val="18"/>
              </w:rPr>
              <w:t>Urbroj: 517-09-1-2-1-22-3</w:t>
            </w:r>
          </w:p>
          <w:p w14:paraId="54E71ED5">
            <w:pPr>
              <w:pStyle w:val="150"/>
              <w:jc w:val="left"/>
              <w:rPr>
                <w:sz w:val="18"/>
                <w:szCs w:val="18"/>
              </w:rPr>
            </w:pPr>
            <w:r>
              <w:rPr>
                <w:sz w:val="18"/>
                <w:szCs w:val="18"/>
              </w:rPr>
              <w:t>Datum izdavanja ovlaštenja: 06.06.2022.</w:t>
            </w:r>
          </w:p>
          <w:p w14:paraId="4196A333">
            <w:pPr>
              <w:pStyle w:val="150"/>
              <w:jc w:val="left"/>
              <w:rPr>
                <w:sz w:val="18"/>
                <w:szCs w:val="18"/>
              </w:rPr>
            </w:pPr>
            <w:r>
              <w:rPr>
                <w:sz w:val="18"/>
                <w:szCs w:val="18"/>
              </w:rPr>
              <w:t>Ovlaštenje vrijedi do: 06.06.2032.</w:t>
            </w:r>
          </w:p>
        </w:tc>
      </w:tr>
      <w:tr w14:paraId="4A9A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50E3118A">
            <w:pPr>
              <w:pStyle w:val="150"/>
              <w:jc w:val="left"/>
              <w:rPr>
                <w:sz w:val="18"/>
                <w:szCs w:val="18"/>
              </w:rPr>
            </w:pPr>
            <w:r>
              <w:rPr>
                <w:sz w:val="18"/>
                <w:szCs w:val="18"/>
              </w:rPr>
              <w:t>17.</w:t>
            </w:r>
          </w:p>
        </w:tc>
        <w:tc>
          <w:tcPr>
            <w:tcW w:w="1415" w:type="pct"/>
            <w:shd w:val="clear" w:color="auto" w:fill="auto"/>
            <w:vAlign w:val="center"/>
          </w:tcPr>
          <w:p w14:paraId="3224CE00">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48FF9AEF">
            <w:pPr>
              <w:pStyle w:val="150"/>
              <w:jc w:val="left"/>
              <w:rPr>
                <w:sz w:val="18"/>
                <w:szCs w:val="18"/>
              </w:rPr>
            </w:pPr>
            <w:r>
              <w:rPr>
                <w:sz w:val="18"/>
                <w:szCs w:val="18"/>
              </w:rPr>
              <w:t>Praćenja kvalitete zraka (mjerenje koncentracije ugljikova monoksida nedisperzivnom infracrvenom spektroskopijom; mjerenje koncentracije dušikova dioksida i dušikova monoksida kemiluminiscencijom; metoda za mjerenje koncentracija sumporova dioksida u zraku ultraljubičastom fluorescencijom; metoda za mjerenje koncentracije ozona ultraljubičastom fotometrijom; određivanje ukupne taložne tvari (UTT) u zraku prema Bergerhoff metodi; određivanje količine arsena, kadmija, olova, nikla u ukupnoj taložnoj tvari zraka primjenom induktivno spregnute plazme sa spektrometrijom masa; određivanje talija u ukupnoj taložnoj tvari zraka primjenom induktivno spregnute plazme sa spektrometrijom masa)</w:t>
            </w:r>
          </w:p>
          <w:p w14:paraId="10E7A0DD">
            <w:pPr>
              <w:pStyle w:val="150"/>
              <w:jc w:val="left"/>
              <w:rPr>
                <w:sz w:val="18"/>
                <w:szCs w:val="18"/>
              </w:rPr>
            </w:pPr>
            <w:r>
              <w:rPr>
                <w:sz w:val="18"/>
                <w:szCs w:val="18"/>
              </w:rPr>
              <w:t>Određivanje talija u ukupnoj taložnoj tvari zraka primjenom induktivno spregnute plazme sa spektrometrijom masa</w:t>
            </w:r>
          </w:p>
          <w:p w14:paraId="2112F031">
            <w:pPr>
              <w:pStyle w:val="150"/>
              <w:jc w:val="left"/>
              <w:rPr>
                <w:sz w:val="18"/>
                <w:szCs w:val="18"/>
              </w:rPr>
            </w:pPr>
            <w:r>
              <w:rPr>
                <w:sz w:val="18"/>
                <w:szCs w:val="18"/>
              </w:rPr>
              <w:t>Određivanje žive u ukupnoj taložnoj tvari zraka atomskom apsorpcijskom spektrometrijom</w:t>
            </w:r>
          </w:p>
        </w:tc>
        <w:tc>
          <w:tcPr>
            <w:tcW w:w="1813" w:type="pct"/>
            <w:shd w:val="clear" w:color="auto" w:fill="auto"/>
            <w:vAlign w:val="center"/>
          </w:tcPr>
          <w:p w14:paraId="6E953A3A">
            <w:pPr>
              <w:pStyle w:val="150"/>
              <w:jc w:val="left"/>
              <w:rPr>
                <w:sz w:val="18"/>
                <w:szCs w:val="18"/>
              </w:rPr>
            </w:pPr>
            <w:r>
              <w:rPr>
                <w:sz w:val="18"/>
                <w:szCs w:val="18"/>
              </w:rPr>
              <w:t>Klasa: UP/I-351-02/23-08/41</w:t>
            </w:r>
          </w:p>
          <w:p w14:paraId="6DE7A646">
            <w:pPr>
              <w:pStyle w:val="150"/>
              <w:jc w:val="left"/>
              <w:rPr>
                <w:sz w:val="18"/>
                <w:szCs w:val="18"/>
              </w:rPr>
            </w:pPr>
            <w:r>
              <w:rPr>
                <w:sz w:val="18"/>
                <w:szCs w:val="18"/>
              </w:rPr>
              <w:t>Urbroj: 517-04-2-1-23-2</w:t>
            </w:r>
          </w:p>
          <w:p w14:paraId="6AE2B826">
            <w:pPr>
              <w:pStyle w:val="150"/>
              <w:jc w:val="left"/>
              <w:rPr>
                <w:sz w:val="18"/>
                <w:szCs w:val="18"/>
              </w:rPr>
            </w:pPr>
            <w:r>
              <w:rPr>
                <w:sz w:val="18"/>
                <w:szCs w:val="18"/>
              </w:rPr>
              <w:t>Datum izdavanja ovlaštenja: 28.11.2023.</w:t>
            </w:r>
          </w:p>
          <w:p w14:paraId="16BF793A">
            <w:pPr>
              <w:pStyle w:val="150"/>
              <w:jc w:val="left"/>
              <w:rPr>
                <w:sz w:val="18"/>
                <w:szCs w:val="18"/>
              </w:rPr>
            </w:pPr>
            <w:r>
              <w:rPr>
                <w:sz w:val="18"/>
                <w:szCs w:val="18"/>
              </w:rPr>
              <w:t>Ovlaštenje vrijedi do: 26.11.2028.</w:t>
            </w:r>
          </w:p>
        </w:tc>
      </w:tr>
      <w:tr w14:paraId="4EE2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1EFF9ACF">
            <w:pPr>
              <w:pStyle w:val="150"/>
              <w:jc w:val="left"/>
              <w:rPr>
                <w:sz w:val="18"/>
                <w:szCs w:val="18"/>
              </w:rPr>
            </w:pPr>
            <w:r>
              <w:rPr>
                <w:sz w:val="18"/>
                <w:szCs w:val="18"/>
              </w:rPr>
              <w:t>Državni zavod za radiološku i nuklearnu sigurnost</w:t>
            </w:r>
          </w:p>
        </w:tc>
      </w:tr>
      <w:tr w14:paraId="6BD7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6B0AA5E0">
            <w:pPr>
              <w:pStyle w:val="150"/>
              <w:jc w:val="left"/>
              <w:rPr>
                <w:sz w:val="18"/>
                <w:szCs w:val="18"/>
              </w:rPr>
            </w:pPr>
            <w:r>
              <w:rPr>
                <w:sz w:val="18"/>
                <w:szCs w:val="18"/>
              </w:rPr>
              <w:t>18.</w:t>
            </w:r>
          </w:p>
        </w:tc>
        <w:tc>
          <w:tcPr>
            <w:tcW w:w="1415" w:type="pct"/>
            <w:shd w:val="clear" w:color="auto" w:fill="auto"/>
            <w:vAlign w:val="center"/>
          </w:tcPr>
          <w:p w14:paraId="128A7D30">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65F142D2">
            <w:pPr>
              <w:pStyle w:val="150"/>
              <w:jc w:val="left"/>
              <w:rPr>
                <w:sz w:val="18"/>
                <w:szCs w:val="18"/>
              </w:rPr>
            </w:pPr>
            <w:r>
              <w:rPr>
                <w:sz w:val="18"/>
                <w:szCs w:val="18"/>
              </w:rPr>
              <w:t>Uporaba rendgenskog uređaja Shimadzu EDX-800HS2 za ispitivanje građe tvari</w:t>
            </w:r>
          </w:p>
          <w:p w14:paraId="739D6ED1">
            <w:pPr>
              <w:pStyle w:val="150"/>
              <w:jc w:val="left"/>
              <w:rPr>
                <w:sz w:val="18"/>
                <w:szCs w:val="18"/>
              </w:rPr>
            </w:pPr>
            <w:r>
              <w:rPr>
                <w:sz w:val="18"/>
                <w:szCs w:val="18"/>
              </w:rPr>
              <w:t>Izvješće o ispitivanju</w:t>
            </w:r>
          </w:p>
        </w:tc>
        <w:tc>
          <w:tcPr>
            <w:tcW w:w="1813" w:type="pct"/>
            <w:shd w:val="clear" w:color="auto" w:fill="auto"/>
            <w:vAlign w:val="center"/>
          </w:tcPr>
          <w:p w14:paraId="79B143C7">
            <w:pPr>
              <w:pStyle w:val="150"/>
              <w:jc w:val="left"/>
              <w:rPr>
                <w:sz w:val="18"/>
                <w:szCs w:val="18"/>
              </w:rPr>
            </w:pPr>
            <w:r>
              <w:rPr>
                <w:sz w:val="18"/>
                <w:szCs w:val="18"/>
              </w:rPr>
              <w:t xml:space="preserve">Klasa 07-75/24-0070-3/1 </w:t>
            </w:r>
          </w:p>
          <w:p w14:paraId="2082333D">
            <w:pPr>
              <w:pStyle w:val="150"/>
              <w:jc w:val="left"/>
              <w:rPr>
                <w:sz w:val="18"/>
                <w:szCs w:val="18"/>
              </w:rPr>
            </w:pPr>
            <w:r>
              <w:rPr>
                <w:sz w:val="18"/>
                <w:szCs w:val="18"/>
              </w:rPr>
              <w:t>Urbroj: 100-08/24-0081</w:t>
            </w:r>
          </w:p>
          <w:p w14:paraId="3DF46E12">
            <w:pPr>
              <w:pStyle w:val="150"/>
              <w:jc w:val="left"/>
              <w:rPr>
                <w:sz w:val="18"/>
                <w:szCs w:val="18"/>
              </w:rPr>
            </w:pPr>
            <w:r>
              <w:rPr>
                <w:sz w:val="18"/>
                <w:szCs w:val="18"/>
              </w:rPr>
              <w:t>Datum izdavanja izvješća: 31.01.2024.</w:t>
            </w:r>
          </w:p>
          <w:p w14:paraId="652F8A3E">
            <w:pPr>
              <w:pStyle w:val="150"/>
              <w:jc w:val="left"/>
              <w:rPr>
                <w:sz w:val="18"/>
                <w:szCs w:val="18"/>
              </w:rPr>
            </w:pPr>
            <w:r>
              <w:rPr>
                <w:sz w:val="18"/>
                <w:szCs w:val="18"/>
              </w:rPr>
              <w:t>Izvješće vrijedi do: 31.01.2025.</w:t>
            </w:r>
          </w:p>
        </w:tc>
      </w:tr>
      <w:tr w14:paraId="72F5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41A3F68E">
            <w:pPr>
              <w:pStyle w:val="150"/>
              <w:jc w:val="left"/>
              <w:rPr>
                <w:sz w:val="18"/>
                <w:szCs w:val="18"/>
              </w:rPr>
            </w:pPr>
            <w:r>
              <w:rPr>
                <w:sz w:val="18"/>
                <w:szCs w:val="18"/>
              </w:rPr>
              <w:t>19.</w:t>
            </w:r>
          </w:p>
        </w:tc>
        <w:tc>
          <w:tcPr>
            <w:tcW w:w="1415" w:type="pct"/>
            <w:shd w:val="clear" w:color="auto" w:fill="auto"/>
            <w:vAlign w:val="center"/>
          </w:tcPr>
          <w:p w14:paraId="4A3674EF">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2630DC61">
            <w:pPr>
              <w:pStyle w:val="150"/>
              <w:jc w:val="left"/>
              <w:rPr>
                <w:sz w:val="18"/>
                <w:szCs w:val="18"/>
              </w:rPr>
            </w:pPr>
            <w:r>
              <w:rPr>
                <w:sz w:val="18"/>
                <w:szCs w:val="18"/>
              </w:rPr>
              <w:t>Određivanje kemijskog sastava materijala uporabom rendgenskih uređaja za ispitivanje građe tvari kojima je područje izloženosti ograničeno kućištem tih uređaja</w:t>
            </w:r>
          </w:p>
        </w:tc>
        <w:tc>
          <w:tcPr>
            <w:tcW w:w="1813" w:type="pct"/>
            <w:shd w:val="clear" w:color="auto" w:fill="auto"/>
            <w:vAlign w:val="center"/>
          </w:tcPr>
          <w:p w14:paraId="3B8329C3">
            <w:pPr>
              <w:pStyle w:val="150"/>
              <w:jc w:val="left"/>
              <w:rPr>
                <w:sz w:val="18"/>
                <w:szCs w:val="18"/>
              </w:rPr>
            </w:pPr>
            <w:r>
              <w:rPr>
                <w:sz w:val="18"/>
                <w:szCs w:val="18"/>
              </w:rPr>
              <w:t>Klasa: UP/I-542-02/15-02/33</w:t>
            </w:r>
          </w:p>
          <w:p w14:paraId="31E60458">
            <w:pPr>
              <w:pStyle w:val="150"/>
              <w:jc w:val="left"/>
              <w:rPr>
                <w:sz w:val="18"/>
                <w:szCs w:val="18"/>
              </w:rPr>
            </w:pPr>
            <w:r>
              <w:rPr>
                <w:sz w:val="18"/>
                <w:szCs w:val="18"/>
              </w:rPr>
              <w:t>Urbroj: 542-03-01-15-4</w:t>
            </w:r>
          </w:p>
          <w:p w14:paraId="60416A06">
            <w:pPr>
              <w:pStyle w:val="150"/>
              <w:jc w:val="left"/>
              <w:rPr>
                <w:sz w:val="18"/>
                <w:szCs w:val="18"/>
              </w:rPr>
            </w:pPr>
            <w:r>
              <w:rPr>
                <w:sz w:val="18"/>
                <w:szCs w:val="18"/>
              </w:rPr>
              <w:t>Datum izdavanja ovlaštenja: 24.03.2015.</w:t>
            </w:r>
          </w:p>
          <w:p w14:paraId="488D6203">
            <w:pPr>
              <w:pStyle w:val="150"/>
              <w:jc w:val="left"/>
              <w:rPr>
                <w:sz w:val="18"/>
                <w:szCs w:val="18"/>
              </w:rPr>
            </w:pPr>
            <w:r>
              <w:rPr>
                <w:sz w:val="18"/>
                <w:szCs w:val="18"/>
              </w:rPr>
              <w:t>Ovlaštenje vrijedi do: 24.03.2025.</w:t>
            </w:r>
          </w:p>
        </w:tc>
      </w:tr>
      <w:tr w14:paraId="42EC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60A8B31C">
            <w:pPr>
              <w:pStyle w:val="150"/>
              <w:jc w:val="left"/>
              <w:rPr>
                <w:sz w:val="18"/>
                <w:szCs w:val="18"/>
              </w:rPr>
            </w:pPr>
            <w:r>
              <w:rPr>
                <w:sz w:val="18"/>
                <w:szCs w:val="18"/>
              </w:rPr>
              <w:t>Državna uprava za zaštitu i spašavanje</w:t>
            </w:r>
          </w:p>
        </w:tc>
      </w:tr>
      <w:tr w14:paraId="371D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7A9E7256">
            <w:pPr>
              <w:pStyle w:val="150"/>
              <w:jc w:val="left"/>
              <w:rPr>
                <w:sz w:val="18"/>
                <w:szCs w:val="18"/>
              </w:rPr>
            </w:pPr>
            <w:r>
              <w:rPr>
                <w:sz w:val="18"/>
                <w:szCs w:val="18"/>
              </w:rPr>
              <w:t>20.</w:t>
            </w:r>
          </w:p>
        </w:tc>
        <w:tc>
          <w:tcPr>
            <w:tcW w:w="1415" w:type="pct"/>
            <w:shd w:val="clear" w:color="auto" w:fill="auto"/>
            <w:vAlign w:val="center"/>
          </w:tcPr>
          <w:p w14:paraId="2B9558AF">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1B780CC4">
            <w:pPr>
              <w:pStyle w:val="150"/>
              <w:jc w:val="left"/>
              <w:rPr>
                <w:sz w:val="18"/>
                <w:szCs w:val="18"/>
              </w:rPr>
            </w:pPr>
            <w:r>
              <w:rPr>
                <w:sz w:val="18"/>
                <w:szCs w:val="18"/>
              </w:rPr>
              <w:t>Osposobljavanje pučanstva za provedbu preventivnih mjera zaštite od požara, gašenja požara i spašavanje ljudi i imovine ugroženih požarom</w:t>
            </w:r>
          </w:p>
        </w:tc>
        <w:tc>
          <w:tcPr>
            <w:tcW w:w="1813" w:type="pct"/>
            <w:shd w:val="clear" w:color="auto" w:fill="auto"/>
            <w:vAlign w:val="center"/>
          </w:tcPr>
          <w:p w14:paraId="678E70DA">
            <w:pPr>
              <w:pStyle w:val="150"/>
              <w:jc w:val="left"/>
              <w:rPr>
                <w:sz w:val="18"/>
                <w:szCs w:val="18"/>
              </w:rPr>
            </w:pPr>
            <w:r>
              <w:rPr>
                <w:sz w:val="18"/>
                <w:szCs w:val="18"/>
              </w:rPr>
              <w:t xml:space="preserve">Klasa: UP/I-034-01/15-01/08 </w:t>
            </w:r>
          </w:p>
          <w:p w14:paraId="5E8C3721">
            <w:pPr>
              <w:pStyle w:val="150"/>
              <w:jc w:val="left"/>
              <w:rPr>
                <w:sz w:val="18"/>
                <w:szCs w:val="18"/>
              </w:rPr>
            </w:pPr>
            <w:r>
              <w:rPr>
                <w:sz w:val="18"/>
                <w:szCs w:val="18"/>
              </w:rPr>
              <w:t>Urbroj: 543-01-05-02-15-4</w:t>
            </w:r>
          </w:p>
          <w:p w14:paraId="442BE852">
            <w:pPr>
              <w:pStyle w:val="150"/>
              <w:jc w:val="left"/>
              <w:rPr>
                <w:sz w:val="18"/>
                <w:szCs w:val="18"/>
              </w:rPr>
            </w:pPr>
            <w:r>
              <w:rPr>
                <w:sz w:val="18"/>
                <w:szCs w:val="18"/>
              </w:rPr>
              <w:t>Datum izdavanja ovlaštenja: 06.05.2015.</w:t>
            </w:r>
          </w:p>
          <w:p w14:paraId="637C6AE1">
            <w:pPr>
              <w:pStyle w:val="150"/>
              <w:jc w:val="left"/>
              <w:rPr>
                <w:sz w:val="18"/>
                <w:szCs w:val="18"/>
              </w:rPr>
            </w:pPr>
            <w:r>
              <w:rPr>
                <w:sz w:val="18"/>
                <w:szCs w:val="18"/>
              </w:rPr>
              <w:t>Ovlaštenje vrijedi do: opoziva</w:t>
            </w:r>
          </w:p>
        </w:tc>
      </w:tr>
      <w:tr w14:paraId="1C68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7159C860">
            <w:pPr>
              <w:pStyle w:val="150"/>
              <w:jc w:val="left"/>
              <w:rPr>
                <w:sz w:val="18"/>
                <w:szCs w:val="18"/>
              </w:rPr>
            </w:pPr>
            <w:r>
              <w:rPr>
                <w:sz w:val="18"/>
                <w:szCs w:val="18"/>
              </w:rPr>
              <w:t>Zavod za unapređivanje zaštite na radu</w:t>
            </w:r>
          </w:p>
        </w:tc>
      </w:tr>
      <w:tr w14:paraId="67F4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028D8A9A">
            <w:pPr>
              <w:pStyle w:val="150"/>
              <w:jc w:val="left"/>
              <w:rPr>
                <w:sz w:val="18"/>
                <w:szCs w:val="18"/>
              </w:rPr>
            </w:pPr>
            <w:r>
              <w:rPr>
                <w:sz w:val="18"/>
                <w:szCs w:val="18"/>
              </w:rPr>
              <w:t>21.</w:t>
            </w:r>
          </w:p>
        </w:tc>
        <w:tc>
          <w:tcPr>
            <w:tcW w:w="1415" w:type="pct"/>
            <w:shd w:val="clear" w:color="auto" w:fill="auto"/>
            <w:vAlign w:val="center"/>
          </w:tcPr>
          <w:p w14:paraId="0B0AF7BC">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3ECEAD35">
            <w:pPr>
              <w:pStyle w:val="150"/>
              <w:jc w:val="left"/>
              <w:rPr>
                <w:sz w:val="18"/>
                <w:szCs w:val="18"/>
              </w:rPr>
            </w:pPr>
            <w:r>
              <w:rPr>
                <w:sz w:val="18"/>
                <w:szCs w:val="18"/>
              </w:rPr>
              <w:t>Obavljanje poslova zaštite na radu, osposobljavanja radnika za rad na siguran način, izrade procjene rizika, ispitivanja radne opreme, ispitivanja u radnom okolišu (ispitivanja fizikalnih, kemijskih i bioloških čimbenika)</w:t>
            </w:r>
          </w:p>
        </w:tc>
        <w:tc>
          <w:tcPr>
            <w:tcW w:w="1813" w:type="pct"/>
            <w:shd w:val="clear" w:color="auto" w:fill="auto"/>
            <w:vAlign w:val="center"/>
          </w:tcPr>
          <w:p w14:paraId="19D7A6C9">
            <w:pPr>
              <w:pStyle w:val="150"/>
              <w:jc w:val="left"/>
              <w:rPr>
                <w:sz w:val="18"/>
                <w:szCs w:val="18"/>
              </w:rPr>
            </w:pPr>
            <w:r>
              <w:rPr>
                <w:sz w:val="18"/>
                <w:szCs w:val="18"/>
              </w:rPr>
              <w:t>Klasa: UP/I-115-01/23-01/25</w:t>
            </w:r>
          </w:p>
          <w:p w14:paraId="01261DBA">
            <w:pPr>
              <w:pStyle w:val="150"/>
              <w:jc w:val="left"/>
              <w:rPr>
                <w:sz w:val="18"/>
                <w:szCs w:val="18"/>
              </w:rPr>
            </w:pPr>
            <w:r>
              <w:rPr>
                <w:sz w:val="18"/>
                <w:szCs w:val="18"/>
              </w:rPr>
              <w:t>Urbroj: 524-03-03-02/1-23-4</w:t>
            </w:r>
          </w:p>
          <w:p w14:paraId="2E4F1E98">
            <w:pPr>
              <w:pStyle w:val="150"/>
              <w:jc w:val="left"/>
              <w:rPr>
                <w:sz w:val="18"/>
                <w:szCs w:val="18"/>
              </w:rPr>
            </w:pPr>
            <w:r>
              <w:rPr>
                <w:sz w:val="18"/>
                <w:szCs w:val="18"/>
              </w:rPr>
              <w:t>Datum izdavanja ovlaštenja: 03.08.2023.</w:t>
            </w:r>
          </w:p>
          <w:p w14:paraId="2C5585A3">
            <w:pPr>
              <w:pStyle w:val="150"/>
              <w:jc w:val="left"/>
              <w:rPr>
                <w:sz w:val="18"/>
                <w:szCs w:val="18"/>
              </w:rPr>
            </w:pPr>
            <w:r>
              <w:rPr>
                <w:sz w:val="18"/>
                <w:szCs w:val="18"/>
              </w:rPr>
              <w:t>Ovlaštenje vrijedi do: 02.08.2028.</w:t>
            </w:r>
          </w:p>
        </w:tc>
      </w:tr>
      <w:tr w14:paraId="6B48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2B620AE1">
            <w:pPr>
              <w:pStyle w:val="150"/>
              <w:jc w:val="left"/>
              <w:rPr>
                <w:sz w:val="18"/>
                <w:szCs w:val="18"/>
              </w:rPr>
            </w:pPr>
            <w:r>
              <w:rPr>
                <w:sz w:val="18"/>
                <w:szCs w:val="18"/>
              </w:rPr>
              <w:t>Hrvatska agencija za lijekove (HALMED)</w:t>
            </w:r>
          </w:p>
        </w:tc>
      </w:tr>
      <w:tr w14:paraId="3325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 w:type="pct"/>
            <w:shd w:val="clear" w:color="auto" w:fill="auto"/>
            <w:vAlign w:val="center"/>
          </w:tcPr>
          <w:p w14:paraId="492F461F">
            <w:pPr>
              <w:pStyle w:val="150"/>
              <w:jc w:val="left"/>
              <w:rPr>
                <w:sz w:val="18"/>
                <w:szCs w:val="18"/>
              </w:rPr>
            </w:pPr>
            <w:r>
              <w:rPr>
                <w:sz w:val="18"/>
                <w:szCs w:val="18"/>
              </w:rPr>
              <w:t>22.</w:t>
            </w:r>
          </w:p>
        </w:tc>
        <w:tc>
          <w:tcPr>
            <w:tcW w:w="1415" w:type="pct"/>
            <w:shd w:val="clear" w:color="auto" w:fill="auto"/>
            <w:vAlign w:val="center"/>
          </w:tcPr>
          <w:p w14:paraId="35A1F8F1">
            <w:pPr>
              <w:pStyle w:val="150"/>
              <w:jc w:val="left"/>
              <w:rPr>
                <w:sz w:val="18"/>
                <w:szCs w:val="18"/>
              </w:rPr>
            </w:pPr>
            <w:r>
              <w:rPr>
                <w:sz w:val="18"/>
                <w:szCs w:val="18"/>
              </w:rPr>
              <w:t>Nastavni zavod za javno zdravstvo „Dr. Andrija Štampar“</w:t>
            </w:r>
          </w:p>
        </w:tc>
        <w:tc>
          <w:tcPr>
            <w:tcW w:w="1469" w:type="pct"/>
            <w:shd w:val="clear" w:color="auto" w:fill="auto"/>
            <w:vAlign w:val="center"/>
          </w:tcPr>
          <w:p w14:paraId="21D7FBB0">
            <w:pPr>
              <w:pStyle w:val="150"/>
              <w:jc w:val="left"/>
              <w:rPr>
                <w:sz w:val="18"/>
                <w:szCs w:val="18"/>
              </w:rPr>
            </w:pPr>
            <w:r>
              <w:rPr>
                <w:sz w:val="18"/>
                <w:szCs w:val="18"/>
              </w:rPr>
              <w:t>Rješenje o upisu u Očevidnik proizvođača medicinskih proizvoda – Proizvodnja krutih i tekućih mikrobioloških podloga</w:t>
            </w:r>
          </w:p>
        </w:tc>
        <w:tc>
          <w:tcPr>
            <w:tcW w:w="1813" w:type="pct"/>
            <w:shd w:val="clear" w:color="auto" w:fill="auto"/>
            <w:vAlign w:val="center"/>
          </w:tcPr>
          <w:p w14:paraId="75DF4302">
            <w:pPr>
              <w:pStyle w:val="150"/>
              <w:jc w:val="left"/>
              <w:rPr>
                <w:sz w:val="18"/>
                <w:szCs w:val="18"/>
              </w:rPr>
            </w:pPr>
            <w:r>
              <w:rPr>
                <w:sz w:val="18"/>
                <w:szCs w:val="18"/>
              </w:rPr>
              <w:t>Klasa: UP/I-530-09/16-08/45</w:t>
            </w:r>
          </w:p>
          <w:p w14:paraId="111AAD26">
            <w:pPr>
              <w:pStyle w:val="150"/>
              <w:jc w:val="left"/>
              <w:rPr>
                <w:sz w:val="18"/>
                <w:szCs w:val="18"/>
              </w:rPr>
            </w:pPr>
            <w:r>
              <w:rPr>
                <w:sz w:val="18"/>
                <w:szCs w:val="18"/>
              </w:rPr>
              <w:t>Urbroj: 381-13-07/183-16-02</w:t>
            </w:r>
          </w:p>
          <w:p w14:paraId="47714360">
            <w:pPr>
              <w:pStyle w:val="150"/>
              <w:jc w:val="left"/>
              <w:rPr>
                <w:sz w:val="18"/>
                <w:szCs w:val="18"/>
              </w:rPr>
            </w:pPr>
            <w:r>
              <w:rPr>
                <w:sz w:val="18"/>
                <w:szCs w:val="18"/>
              </w:rPr>
              <w:t>Datum izdavanja ovlaštenja: 09.12.2016.</w:t>
            </w:r>
          </w:p>
          <w:p w14:paraId="5F329908">
            <w:pPr>
              <w:pStyle w:val="150"/>
              <w:jc w:val="left"/>
              <w:rPr>
                <w:sz w:val="18"/>
                <w:szCs w:val="18"/>
              </w:rPr>
            </w:pPr>
            <w:r>
              <w:rPr>
                <w:sz w:val="18"/>
                <w:szCs w:val="18"/>
              </w:rPr>
              <w:t>Ovlaštenje vrijedi do: opoziva</w:t>
            </w:r>
          </w:p>
        </w:tc>
      </w:tr>
    </w:tbl>
    <w:p w14:paraId="49A900CB"/>
    <w:p w14:paraId="31609960">
      <w:r>
        <w:rPr>
          <w:b/>
          <w:bCs/>
        </w:rPr>
        <w:t xml:space="preserve">Voda </w:t>
      </w:r>
      <w:r>
        <w:t>za ljudsku potrošnju, odnosno njena zdravstvena ispravnost jedan je od najvažnijih javnozdravstvenih interesa. Ispitivanja se provode u skladu sa zakonskom osnovom (Zakon o vodama NN 66/19, 84/21 i 47/23, Zakon o vodi za ljudsku potrošnju NN 30/23 i Pravilnik o parametrima sukladnosti, metodama analiza i monitorinzima vode namijenjene za ljudsku potrošnju NN 64/23 i 88/23.</w:t>
      </w:r>
    </w:p>
    <w:p w14:paraId="61E8CF2A">
      <w:pPr>
        <w:rPr>
          <w:spacing w:val="-6"/>
        </w:rPr>
      </w:pPr>
      <w:r>
        <w:rPr>
          <w:spacing w:val="-6"/>
        </w:rPr>
        <w:t>Kakvoća podzemne vode priljevnih područja vodocrpilišta ocjenjuje se prema kriterijima:</w:t>
      </w:r>
    </w:p>
    <w:p w14:paraId="3B606F8D">
      <w:pPr>
        <w:numPr>
          <w:ilvl w:val="0"/>
          <w:numId w:val="25"/>
        </w:numPr>
      </w:pPr>
      <w:r>
        <w:t>Pravilnik o parametrima sukladnosti, metodama analiza i monitorinzima vode namijenjene za ljudsku potrošnju NN 64/23 i 88/23</w:t>
      </w:r>
    </w:p>
    <w:p w14:paraId="7DA44045">
      <w:pPr>
        <w:numPr>
          <w:ilvl w:val="0"/>
          <w:numId w:val="25"/>
        </w:numPr>
      </w:pPr>
      <w:r>
        <w:t>Uredbi o standardu kakvoće voda (NN 96/19, 20/23 i 50/23). Uredbom se ocjenjuje kemijsko stanje podzemne vode.</w:t>
      </w:r>
    </w:p>
    <w:p w14:paraId="2142A548">
      <w:r>
        <w:t>Ispitivanje zdravstvene ispravnosti vode za kupanje provodi se iz školskih i hotelskih bazena putem godišnjih ugovora i ocjenjuje sukladno Pravilniku o sanitarno tehničkim i higijenskim uvjetima bazenskih kupališta te o zdravstvenoj ispravnosti bazenskih voda (NN 59/20 i 89/22).</w:t>
      </w:r>
    </w:p>
    <w:p w14:paraId="14CB8BB5">
      <w:r>
        <w:t>Otpadne vode koje se ispuštaju u sustav javne odvodnje ili prirodne prijemnike ispituju se prema Pravilniku o graničnim vrijednostima emisija otpadnih voda (NN 26/20) i Vodopravnim dozvolama izdanim od strane nadležnih državnih institucija.</w:t>
      </w:r>
    </w:p>
    <w:p w14:paraId="5FBB5C58">
      <w:r>
        <w:t>Ispitivanje izvedenih kanalizacijskih sustava dijelova naselja i internih kanalizacijskih sustava u krugu objekata, u skladu s legalizacijom objekata i priključenjima istih na javni vodoopskrbni sustav provodi se prema Pravilniku o posebnim uvjetima za obavljanje djelatnosti ispitivanja vodonepropusnosti građevina za odvodnju i pročišćavanje otpadnih voda NN 9/20.</w:t>
      </w:r>
    </w:p>
    <w:p w14:paraId="31D281A6">
      <w:pPr>
        <w:rPr>
          <w:spacing w:val="-2"/>
        </w:rPr>
      </w:pPr>
      <w:r>
        <w:rPr>
          <w:b/>
          <w:bCs/>
          <w:spacing w:val="-2"/>
        </w:rPr>
        <w:t xml:space="preserve">Analiza hrane </w:t>
      </w:r>
      <w:r>
        <w:rPr>
          <w:spacing w:val="-2"/>
        </w:rPr>
        <w:t>provodi se u skladu sa Zakonom o hrani (NN 18/2023), odnosno Uredbom EZ 178/2002 te ostalim pod-zakonskim aktima, uključujući i Zakon o higijeni hrane i mikrobiološkim kriterijima za hranu (NN 83/22), Vodič za mikrobiološke kriterije za hranu (MPRRR 2011. godine). Sve aktivnost provode se u cilju zaštite zdravlja ljudi, s posebnim naglaskom na djecu te osobe starije životne dobi, a prema Zakonu o zaštiti pučanstva od zaraznih bolesti (NN 79/07, 113/08, 43/09, 130/17, 114/18, 134/20, 143/21).</w:t>
      </w:r>
    </w:p>
    <w:p w14:paraId="73C4836F">
      <w:r>
        <w:t xml:space="preserve">Zakon o </w:t>
      </w:r>
      <w:r>
        <w:rPr>
          <w:b/>
          <w:bCs/>
        </w:rPr>
        <w:t>predmetima opće uporabe</w:t>
      </w:r>
      <w:r>
        <w:t xml:space="preserve"> (N.N. 39/13, 47/14, 114/18, 53/22), obuhvaća uvjete koje vezano za zdravstvenu ispravnost, odnosno sukladnost moraju ispunjavati materijali koji dolaze u kontakt s hranom i vodom za ljudsku potrošnju i predmeti široke potrošnje prije stavljanja na tržište.</w:t>
      </w:r>
    </w:p>
    <w:p w14:paraId="54F33A20">
      <w:pPr>
        <w:rPr>
          <w:spacing w:val="-2"/>
        </w:rPr>
      </w:pPr>
      <w:r>
        <w:rPr>
          <w:spacing w:val="-2"/>
        </w:rPr>
        <w:t>Predmeti opće uporabe obuhvaćaju posuđe, pribor, opremu i uređaje za proizvodnju predmeta opće uporabe, ambalažu za predmete opće uporabe, dječje igračke uključujući proizvode namijenjene dojenčadi i djeci mlađoj od tri godine za olakšavanje hranjenja, sisanja, umirivanja i spavanja, kozmetičke proizvode, duhan, duhanski proizvodi i pribor za pušenje (pribor koji pri pušenju dolazi u dodir s ustima i usnom šupljinom: lula i cigaretnik – usnik), određene predmete i sredstva koja pri uporabi dolaze u neposredan dodir s kožom i/ili sluznicom, uključujući i proizvode za zabavu odraslih i predmete za ukrašavanje lica i tijela (npr. tatoo, piercing i trajna šminka) i imitacija nakita i proizvodi koji u primjeni dolaze u dodir s kožom i/ili sluznicama, a sadrže zdravstvene tvrdnje, posebnu namjenu, ograničeni način primjene i specifična upozorenja.</w:t>
      </w:r>
    </w:p>
    <w:p w14:paraId="1209C0C2">
      <w:r>
        <w:t>Od navedenih predmeta opće uporabe osim Zakona o POU sukladnost je regulirana i harmoniziranim zakonodavstvom EU pa je tako:</w:t>
      </w:r>
    </w:p>
    <w:p w14:paraId="1B3491DE">
      <w:pPr>
        <w:pStyle w:val="52"/>
        <w:numPr>
          <w:ilvl w:val="0"/>
          <w:numId w:val="26"/>
        </w:numPr>
      </w:pPr>
      <w:r>
        <w:t>Sigurnost kozmetike regulirana je EU harmoniziranim zakonodavstvom odnosno Uredbom br. 1223/2009 o kozmetičkim proizvodima.</w:t>
      </w:r>
    </w:p>
    <w:p w14:paraId="4ACCBEC0">
      <w:pPr>
        <w:pStyle w:val="52"/>
        <w:numPr>
          <w:ilvl w:val="0"/>
          <w:numId w:val="26"/>
        </w:numPr>
      </w:pPr>
      <w:r>
        <w:t>Sigurnost deterdženta i sredstava za održavanje čistoće regulirana je Uredbom br. 648/2004.</w:t>
      </w:r>
    </w:p>
    <w:p w14:paraId="2BBEA212">
      <w:pPr>
        <w:pStyle w:val="52"/>
        <w:numPr>
          <w:ilvl w:val="0"/>
          <w:numId w:val="26"/>
        </w:numPr>
      </w:pPr>
      <w:r>
        <w:t>Sigurnost materijala i predmeta koji dolaze u neposredan kontakt s hranom regulirana Uredbom 1935/2004, a materijali i predmeti izrađeni od plastike Uredbom 10/2011.</w:t>
      </w:r>
    </w:p>
    <w:p w14:paraId="4B5C499B">
      <w:pPr>
        <w:pStyle w:val="52"/>
        <w:numPr>
          <w:ilvl w:val="0"/>
          <w:numId w:val="26"/>
        </w:numPr>
      </w:pPr>
      <w:r>
        <w:t>Sigurnost igračaka na području EU regulirana je Direktivom o sigurnosti igračaka 2009/48/EZ koja je u potpunosti prenesena u Pravilnik o sigurnosti igračaka s izmjenama i dopunama (NN 83/14, 38/15, 35/17, 50/18, 60/19, 48/21 i 140/22).</w:t>
      </w:r>
    </w:p>
    <w:p w14:paraId="2E809A93">
      <w:pPr>
        <w:pStyle w:val="52"/>
        <w:numPr>
          <w:ilvl w:val="0"/>
          <w:numId w:val="26"/>
        </w:numPr>
      </w:pPr>
      <w:r>
        <w:t>Materijali i sirovine koje se koriste u proizvodnji POU moraju odgovarati zahtjevima Uredba (EZ) br. 1272/2008 o razvrstavanju, označivanju i pakiranju tvari i smjesa (CLP) te Uredbi br. 1907/2006 o registraciji, evaluaciji, autorizaciji i ograničavanju kemikalija (REACH).</w:t>
      </w:r>
    </w:p>
    <w:p w14:paraId="16B6B606">
      <w:r>
        <w:t>Ostali predmeti opće uporabe regulirani su nacionalnim Pravilnicima.</w:t>
      </w:r>
    </w:p>
    <w:p w14:paraId="7A71B5A1">
      <w:r>
        <w:t>Ostalo:</w:t>
      </w:r>
    </w:p>
    <w:p w14:paraId="7751DD31">
      <w:pPr>
        <w:numPr>
          <w:ilvl w:val="0"/>
          <w:numId w:val="27"/>
        </w:numPr>
        <w:rPr>
          <w:spacing w:val="-2"/>
        </w:rPr>
      </w:pPr>
      <w:r>
        <w:rPr>
          <w:spacing w:val="-2"/>
        </w:rPr>
        <w:t xml:space="preserve">Zakon o zdravstvenoj zaštiti (NN 100/18, 125/19) – provođenje mjera zdravstvene ekologije sukladno čl.15. i provedbi mjera zdravstvene zaštite </w:t>
      </w:r>
      <w:r>
        <w:rPr>
          <w:iCs/>
          <w:spacing w:val="-2"/>
        </w:rPr>
        <w:t>–</w:t>
      </w:r>
      <w:r>
        <w:rPr>
          <w:spacing w:val="-2"/>
        </w:rPr>
        <w:t xml:space="preserve"> zaštite od ekoloških činitelja štetnih po zdravlje uključivši sve mjere za očuvanje, unapređenje i poboljšanje zdravstvenih uvjeta čovjekove okoline i higijenskih uvjeta za život i rad čovjeka.</w:t>
      </w:r>
    </w:p>
    <w:p w14:paraId="1A9F9CCF">
      <w:pPr>
        <w:numPr>
          <w:ilvl w:val="0"/>
          <w:numId w:val="27"/>
        </w:numPr>
      </w:pPr>
      <w:r>
        <w:t>Zakon o zdravstvenoj zaštititi (NN 100/18, 125/19) – koordinacija zdravstvenih ustanova u kriznim/izvanrednim situacijama</w:t>
      </w:r>
    </w:p>
    <w:p w14:paraId="784F7C59">
      <w:pPr>
        <w:numPr>
          <w:ilvl w:val="0"/>
          <w:numId w:val="27"/>
        </w:numPr>
      </w:pPr>
      <w:r>
        <w:t xml:space="preserve">Zakon o zaštiti pučanstva od zaraznih bolesti (NN 24/07, 134/20) </w:t>
      </w:r>
      <w:r>
        <w:rPr>
          <w:iCs/>
        </w:rPr>
        <w:t xml:space="preserve">– </w:t>
      </w:r>
      <w:r>
        <w:t xml:space="preserve">čl. 16 </w:t>
      </w:r>
      <w:r>
        <w:rPr>
          <w:iCs/>
        </w:rPr>
        <w:t>–</w:t>
      </w:r>
      <w:r>
        <w:t xml:space="preserve"> obveza prijavljivanja svakog neuobičajenog događaja koji može ukazivati na zlouporabu biološkog agensa ili epidemiju nepoznatog uzroka</w:t>
      </w:r>
    </w:p>
    <w:p w14:paraId="1C6269A8">
      <w:pPr>
        <w:numPr>
          <w:ilvl w:val="0"/>
          <w:numId w:val="27"/>
        </w:numPr>
      </w:pPr>
      <w:r>
        <w:t>Pravilnik o učestalosti kontrole i normativima mikrobiološke čistoće u objektima pod sanitarnim nadzorom (NN 139/09)</w:t>
      </w:r>
    </w:p>
    <w:p w14:paraId="067C074F">
      <w:pPr>
        <w:numPr>
          <w:ilvl w:val="0"/>
          <w:numId w:val="27"/>
        </w:numPr>
      </w:pPr>
      <w:r>
        <w:t>Procjena rizika od katastrofa za Republiku Hrvatsku. Vlada Republike Hrvatske, 2015.</w:t>
      </w:r>
    </w:p>
    <w:p w14:paraId="5F311ACB">
      <w:pPr>
        <w:numPr>
          <w:ilvl w:val="0"/>
          <w:numId w:val="27"/>
        </w:numPr>
      </w:pPr>
      <w:r>
        <w:t>Nacionalna strategije razvoja zdravstva 2012. – 2020. (NN 116/12)</w:t>
      </w:r>
    </w:p>
    <w:p w14:paraId="79DDC751">
      <w:pPr>
        <w:numPr>
          <w:ilvl w:val="0"/>
          <w:numId w:val="27"/>
        </w:numPr>
      </w:pPr>
      <w:r>
        <w:t>Strateški plan razvoja javnog zdravstva 2013. – 2015.</w:t>
      </w:r>
    </w:p>
    <w:p w14:paraId="4C346C01">
      <w:pPr>
        <w:numPr>
          <w:ilvl w:val="0"/>
          <w:numId w:val="27"/>
        </w:numPr>
      </w:pPr>
      <w:r>
        <w:t xml:space="preserve">Akcijski plan grada Zagreba za prevenciju i kontrolu kroničnih nezaraznih bolesti 2015. </w:t>
      </w:r>
      <w:r>
        <w:rPr>
          <w:iCs/>
        </w:rPr>
        <w:t>–</w:t>
      </w:r>
      <w:r>
        <w:t>2020., Zagreb, 2015.</w:t>
      </w:r>
    </w:p>
    <w:p w14:paraId="12204CB1">
      <w:pPr>
        <w:numPr>
          <w:ilvl w:val="0"/>
          <w:numId w:val="27"/>
        </w:numPr>
      </w:pPr>
      <w:r>
        <w:t xml:space="preserve">Nacionalni plan za provedbu </w:t>
      </w:r>
      <w:r>
        <w:rPr>
          <w:i/>
          <w:iCs/>
        </w:rPr>
        <w:t>Stockholmske konvencije o postojanim organskim onečišćujućim tvarima</w:t>
      </w:r>
      <w:r>
        <w:t>, Zagreb, (2008., 2016., 2021.).</w:t>
      </w:r>
    </w:p>
    <w:p w14:paraId="7C2ACC1C">
      <w:pPr>
        <w:numPr>
          <w:ilvl w:val="0"/>
          <w:numId w:val="27"/>
        </w:numPr>
        <w:rPr>
          <w:spacing w:val="-6"/>
        </w:rPr>
      </w:pPr>
      <w:r>
        <w:rPr>
          <w:spacing w:val="-6"/>
        </w:rPr>
        <w:t xml:space="preserve">Strategija prilagodbe klimatskim promjenama u Republici Hrvatskoj za razdoblje do 2040. godine s pogledom na 2070. godinu (NN 46/20) </w:t>
      </w:r>
      <w:r>
        <w:rPr>
          <w:iCs/>
          <w:spacing w:val="-6"/>
        </w:rPr>
        <w:t>–</w:t>
      </w:r>
      <w:r>
        <w:rPr>
          <w:spacing w:val="-6"/>
        </w:rPr>
        <w:t xml:space="preserve"> jačanje kapaciteta i uloge Zavoda.</w:t>
      </w:r>
    </w:p>
    <w:p w14:paraId="49EC4F9D"/>
    <w:p w14:paraId="28962F4A">
      <w:pPr>
        <w:pStyle w:val="147"/>
        <w:jc w:val="left"/>
      </w:pPr>
      <w:r>
        <w:t>USKLAĐENOST CILJEVA, STRATEGIJE PROGRAMA S DOKUMENTIMA DUGOROČNOG RAZVOJA</w:t>
      </w:r>
    </w:p>
    <w:p w14:paraId="24A0F197">
      <w:pPr>
        <w:rPr>
          <w:iCs/>
        </w:rPr>
      </w:pPr>
      <w:r>
        <w:rPr>
          <w:iCs/>
        </w:rPr>
        <w:t>Plan rada i obavljanja djelatnosti usko je povezan i usklađen sa strateškim dokumentima Ministarstva zdravstva, Ministarstva poljoprivrede, šumarstva i ribarstva, Ministarstva zaštite okoliša i zelene tranzicije te Ministarstva rada, mirovinskoga sustava, obitelji i socijalne politike.</w:t>
      </w:r>
    </w:p>
    <w:p w14:paraId="4D61012D"/>
    <w:p w14:paraId="1D76F497">
      <w:pPr>
        <w:pStyle w:val="147"/>
      </w:pPr>
      <w:r>
        <w:t>IZVJEŠTAJ O POSTIGNUTIM CILJEVIMA I REZULTATIMA PROGRAMA TEMELJENIM NA POKAZATELJIMA USPJEŠNOSTI U PRETHODNOJ GODINI</w:t>
      </w:r>
    </w:p>
    <w:p w14:paraId="77920524">
      <w:pPr>
        <w:rPr>
          <w:spacing w:val="-2"/>
        </w:rPr>
      </w:pPr>
      <w:r>
        <w:rPr>
          <w:spacing w:val="-2"/>
        </w:rPr>
        <w:t>U Službi je tijekom 2024. godine ostvareno kvalitetno i kontinuirano obavljanje djelatnosti zdravstvene ekologije i očuvanja okoliša podizanjem kvalitete pruženih usluga kroz stalna stručna osposobljavanja djelatnika slanjem na stručne seminare, kongrese te stalno stručno online osposobljavanje i usavršavanje. Dodatno je ulagano u osnovna sredstva i analitičku opremu. U Službi je do sada implementirano ukupno preko 400 metoda s više od 2000 parametara</w:t>
      </w:r>
      <w:bookmarkStart w:id="15" w:name="_Hlk152141570"/>
      <w:r>
        <w:rPr>
          <w:spacing w:val="-2"/>
        </w:rPr>
        <w:t>. Akreditirana je 218 metoda 153 u fiksnom području sa 221 parametrom i 65 metode u fleksibilnom sa 3551 parametara</w:t>
      </w:r>
      <w:bookmarkEnd w:id="15"/>
      <w:r>
        <w:rPr>
          <w:spacing w:val="-2"/>
        </w:rPr>
        <w:t>. Ističemo da su tijekom 2024. godine nastali preduvjeti za uključivanje analitičke opreme nabavljene preko projekta Centar za sigurnost i kvalitetu hrane u komercijalne analize sukladno odobrenju Ministarstva znanosti i obrazovanja te SAFU-a te se tijekom 2025. godine očekuje implementacija sustava praćenja komercijalizacije navedenih instrumenata.</w:t>
      </w:r>
    </w:p>
    <w:p w14:paraId="36DF7BAA"/>
    <w:p w14:paraId="56760D68">
      <w:pPr>
        <w:rPr>
          <w:i/>
        </w:rPr>
      </w:pPr>
      <w:r>
        <w:rPr>
          <w:i/>
        </w:rPr>
        <w:t>Analize, ispitivanja i ocjena zdravstvene ispravnosti i kvalitete voda</w:t>
      </w:r>
    </w:p>
    <w:p w14:paraId="09ED25C7">
      <w:pPr>
        <w:rPr>
          <w:spacing w:val="-4"/>
        </w:rPr>
      </w:pPr>
      <w:r>
        <w:rPr>
          <w:spacing w:val="-4"/>
        </w:rPr>
        <w:t xml:space="preserve">U odnosu na isto promatrano razdoblje u 2023., tijekom 2024. godine bilježi se porast ukupnog broja uzoraka voda, osobito vode za ljudsku potrošnju što se prije svega može pripisati povećanju broja uzoraka za ispitivanje na </w:t>
      </w:r>
      <w:r>
        <w:rPr>
          <w:iCs/>
          <w:spacing w:val="-4"/>
        </w:rPr>
        <w:t>Legionellu</w:t>
      </w:r>
      <w:r>
        <w:rPr>
          <w:i/>
          <w:spacing w:val="-4"/>
        </w:rPr>
        <w:t>.</w:t>
      </w:r>
      <w:r>
        <w:rPr>
          <w:spacing w:val="-4"/>
        </w:rPr>
        <w:t xml:space="preserve"> Posljedica je to stupanja na snagu Pravilnika o kontroli parametara kućne vodoopskrbne mreže potrošača i drugih sustava od javnozdravstvenog značaja te planu i programu edukacije svih dionika (NN 43/24). Trend porasta broja uzoraka za ispitivanje na </w:t>
      </w:r>
      <w:r>
        <w:rPr>
          <w:iCs/>
          <w:spacing w:val="-4"/>
        </w:rPr>
        <w:t>Legionellu</w:t>
      </w:r>
      <w:r>
        <w:rPr>
          <w:spacing w:val="-4"/>
        </w:rPr>
        <w:t xml:space="preserve"> očekujemo i u 2025. godini.</w:t>
      </w:r>
    </w:p>
    <w:p w14:paraId="69CEF259">
      <w:pPr>
        <w:rPr>
          <w:spacing w:val="-2"/>
        </w:rPr>
      </w:pPr>
      <w:r>
        <w:rPr>
          <w:spacing w:val="-2"/>
        </w:rPr>
        <w:t>Broj uzoraka ostalih vrsta voda ove je godine vrlo sličan u odnosu na isto razdoblje u 2023.</w:t>
      </w:r>
    </w:p>
    <w:p w14:paraId="43341CDE">
      <w:r>
        <w:t>Poslovi Odjela u 2023. godini proširili su se na uzorkovanje na području Slovenije te nastavili i u 2024. U planu je i proširenje ugovorenih obveza na navedenom području i u 2025. godini što će se u konačnici, nadamo se, pozitivno odraziti na ukupan broj uzoraka.</w:t>
      </w:r>
    </w:p>
    <w:p w14:paraId="41445700"/>
    <w:p w14:paraId="75CA797B">
      <w:pPr>
        <w:rPr>
          <w:i/>
        </w:rPr>
      </w:pPr>
      <w:r>
        <w:rPr>
          <w:i/>
        </w:rPr>
        <w:t>Analize, ispitivanja i ocjene zdravstvene ispravnost i kvalitete hrane – kemijska ispitivanja</w:t>
      </w:r>
    </w:p>
    <w:p w14:paraId="73A365C2">
      <w:r>
        <w:t>Broj analiziranih uzoraka u 2024. godini u većini kategorija približno je isti u odnosu na 2023. Manja odstupanja tumače se djelomičnim završetkom prethodne provedbe projekata, dok se za prijavljene projekte još uvijek čekaju odluke. Očekuje se da će se do kraja godine povećati ukupni broj analiza na račun pojačane komunikacije s nekim proizvođačima hrane i dodataka prehrani, zatim laboratorijima/zavodima, kontrolnim tijelima za eko-proizvodnju te vaučerima MINGOR-a.</w:t>
      </w:r>
    </w:p>
    <w:p w14:paraId="465B35B4"/>
    <w:p w14:paraId="0DE4CD08">
      <w:pPr>
        <w:rPr>
          <w:i/>
        </w:rPr>
      </w:pPr>
      <w:r>
        <w:rPr>
          <w:i/>
        </w:rPr>
        <w:t>Analize, ispitivanja i ocjene zdravstvene ispravnost i sigurnosti predmeta opće uporabe –kemijska ispitivanja</w:t>
      </w:r>
    </w:p>
    <w:p w14:paraId="1D9A763D">
      <w:r>
        <w:t>Broj analiziranih uzoraka u 2024. u kategoriji predmeta opće uporabe (materijala i predmeta koji dolaze u kontakt s hranom i predmeta široke potrošnje) u značajnom je porastu u broju analiziranih parametara u odnosu na 2023. godinu (60% u odnosu na isto razdoblje 2023. godine). Porast je posebno uočljiv u kategoriji predmeta široke potrošnje što se svakako može povezati s povećanjem ugovora o poslovnoj suradnji u kategoriji malih i srednjih poduzetnika i trgovačkih lanaca. Porastu broja uzoraka pridonijeli su istraživačko-inovativni projekti u kojima smo sudjelovali s proizvođačima kozmetičkih proizvoda i Ministarstvom regionalnog razvoja i EU fondova. Za dobru poslovnu godinu uz standardni broj uzoraka koje smo uspjeli povećati u monitoringu s tržišta i prilikom uvoza u suradnji s DIRH-om pridonijeli su i projekti s Gradskim uredom za socijalnu zaštitu, zdravstvo, branitelje i osobe s invaliditetom. Također je potrebno spomenuti kako je uvođenje novih analitičkih parametara kao i veliko zalaganje djelatnika u promidžbi djelatnosti Odjela i pridobivanju novih poslovnih partnera značajno pridonijelo povećanju broja uzoraka.</w:t>
      </w:r>
    </w:p>
    <w:p w14:paraId="49B6C855">
      <w:pPr>
        <w:rPr>
          <w:iCs/>
        </w:rPr>
      </w:pPr>
    </w:p>
    <w:p w14:paraId="04302FA0">
      <w:pPr>
        <w:rPr>
          <w:i/>
        </w:rPr>
      </w:pPr>
      <w:r>
        <w:rPr>
          <w:i/>
        </w:rPr>
        <w:t>Analize zdravstvene ispravnosti, hrane, predmeta opće uporabe i okolišnih uzoraka – mikrobiološka ispitivanja</w:t>
      </w:r>
    </w:p>
    <w:p w14:paraId="479FB48A">
      <w:r>
        <w:t>U 2024. godini provedeno je približno isti broj mikrobioloških analiza hrane, predmeta opće uporabe i okolišnih uzoraka. Uspješno je proveden monitoring Grada Zagreba, Završen je projekt s Agronomskim fakultetom uz još uvijek aktualnu diseminaciju.</w:t>
      </w:r>
    </w:p>
    <w:p w14:paraId="54DDDA70"/>
    <w:p w14:paraId="6DC8873C">
      <w:pPr>
        <w:rPr>
          <w:i/>
        </w:rPr>
      </w:pPr>
      <w:r>
        <w:rPr>
          <w:i/>
        </w:rPr>
        <w:t>Analize uzoraka i parametara na prisutnost prirodnih i antropogenih zagađivala u vodama, hrani, predmetima opće uporabe, tlu, otpadu i zraku</w:t>
      </w:r>
    </w:p>
    <w:p w14:paraId="40F8FF69">
      <w:r>
        <w:t>Broj analiza u Odjelu za analitičke tehnike ovisi o broju zaprimljenih uzoraka na ostalim Odjelima Službe. Evidentno je da je broj analiziranih uzoraka približno isti kao i prethodnih godina, ali se povećava broj analitičkih parametra, što ovisi o zahtjevu naručitelja analiza.</w:t>
      </w:r>
    </w:p>
    <w:p w14:paraId="2B6B274D"/>
    <w:p w14:paraId="48CF8BBD">
      <w:pPr>
        <w:rPr>
          <w:i/>
        </w:rPr>
      </w:pPr>
      <w:r>
        <w:rPr>
          <w:i/>
        </w:rPr>
        <w:t>Analize, ispitivanja i ocjene sukladnosti uzoraka tla, otpada, zraka te ekotoksikoloških i melisopalinoloških ispitivanja</w:t>
      </w:r>
    </w:p>
    <w:p w14:paraId="5D30B889">
      <w:r>
        <w:t>Zavod kontinuirano provodi analize, ispitivanja i ocjene sukladnosti uzoraka tla, otpada, zraka, kao i ekotoksikoloških i melisopalinoloških ispitivanja.</w:t>
      </w:r>
    </w:p>
    <w:p w14:paraId="312448AC">
      <w:r>
        <w:t xml:space="preserve">Kvaliteta zraka sustavno se prati pomoću automatske mjerne postaje koja kontinuirano bilježi koncentracije polutanata. Dnevni izvještaji o kvaliteti zraka redovito se objavljuju na mrežnoj stranici Zavoda. U sklopu Programa „Ekološka karta Grada Zagreba“, tijekom 2024. proveden je javni natječaj za 49 senzora za praćenje kvalitete zraka, a validacija podataka prikupljenih putem senzora te njihova objava na </w:t>
      </w:r>
      <w:r>
        <w:rPr>
          <w:i/>
          <w:iCs/>
        </w:rPr>
        <w:t>web</w:t>
      </w:r>
      <w:r>
        <w:t>-GIS platformi započet će početkom prosinca, kada senzori budu u potpunosti operativni.</w:t>
      </w:r>
    </w:p>
    <w:p w14:paraId="5804AD59">
      <w:r>
        <w:t>Osim zraka, značajan dio aktivnosti obuhvaća i analize otpada i tla. Ove usluge naručuju različiti klijenti, uključujući privatne tvrtke, Državni inspektorat i druge relevantne institucije, što osigurava široku primjenu dobivenih rezultata u očuvanju okoliša i javnom zdravstvu. U okviru projekta „Ekološka karta Grada Zagreba“, u suradnji sa Zavodom za melioracije Agronomskog fakulteta Sveučilišta u Zagrebu, provodi se program „Monitoring tla urbanih površina Grada Zagreba“.</w:t>
      </w:r>
    </w:p>
    <w:p w14:paraId="467B1862">
      <w:r>
        <w:t>Analize ukupne taložne tvari (UTT) u zraku također se uspješno provode, uz stalnu tendenciju proširenja djelatnosti. Naime, ta je analiza ključan postupak za procjenu kvalitete zraka i utvrđivanje prisutnosti čestica različitih veličina i kemijskog sastava, uključujući prašinu, pelud, pepeo, čađu i druge kontaminante koji mogu dolaziti iz prirodnih ili antropogenih izvora koje se talože na površinama zbog gravitacije.</w:t>
      </w:r>
    </w:p>
    <w:p w14:paraId="7B633466">
      <w:r>
        <w:t>Monitoring peluda, s ciljem pravovremenog informiranja javnosti o prisutnosti alergenih vrsta i njihovim koncentracijama u zraku, provodi se svakodnevno, uz redovnu objavu informacija u medijima.</w:t>
      </w:r>
    </w:p>
    <w:p w14:paraId="27DE343A">
      <w:r>
        <w:t>U sklopu odjela provode se i ekotoksikološka ispitivanja otpadnih voda te predmeta opće uporabe, IR identifikacija predmeta opće uporabe, pregledne analize na EDX spektrometru te određivanje ukupnog i otopljenog organskog ugljika kao i adsorbilnih organskih halogena u vodama.</w:t>
      </w:r>
    </w:p>
    <w:p w14:paraId="128662A0">
      <w:r>
        <w:t>Unatoč stabilnom broju analiziranih uzoraka u usporedbi s prethodnim godinama, obim poslova prvenstveno ovisi o zahtjevima naručitelja analiza.</w:t>
      </w:r>
    </w:p>
    <w:p w14:paraId="1F1B1B3F"/>
    <w:p w14:paraId="3402C712">
      <w:pPr>
        <w:pStyle w:val="147"/>
      </w:pPr>
      <w:r>
        <w:t>AKTIVNOSTI SLUŽBE (REALIZIRANE I PLANIRANE)</w:t>
      </w:r>
    </w:p>
    <w:p w14:paraId="699BC3AB">
      <w:pPr>
        <w:rPr>
          <w:color w:val="000000" w:themeColor="text1"/>
          <w14:textFill>
            <w14:solidFill>
              <w14:schemeClr w14:val="tx1"/>
            </w14:solidFill>
          </w14:textFill>
        </w:rPr>
      </w:pPr>
    </w:p>
    <w:p w14:paraId="17AE77ED">
      <w:pPr>
        <w:rPr>
          <w:i/>
          <w:iCs/>
          <w:color w:val="000000" w:themeColor="text1"/>
          <w14:textFill>
            <w14:solidFill>
              <w14:schemeClr w14:val="tx1"/>
            </w14:solidFill>
          </w14:textFill>
        </w:rPr>
      </w:pPr>
      <w:r>
        <w:rPr>
          <w:i/>
          <w:iCs/>
          <w:color w:val="000000" w:themeColor="text1"/>
          <w14:textFill>
            <w14:solidFill>
              <w14:schemeClr w14:val="tx1"/>
            </w14:solidFill>
          </w14:textFill>
        </w:rPr>
        <w:t>Tablica 1. – Realizirano u razdoblju od 1. 1. do 30. 9. 2024. godine i planirano u 2025. godini – analize voda</w:t>
      </w:r>
    </w:p>
    <w:tbl>
      <w:tblPr>
        <w:tblStyle w:val="12"/>
        <w:tblW w:w="0" w:type="auto"/>
        <w:tblInd w:w="0" w:type="dxa"/>
        <w:tblLayout w:type="autofit"/>
        <w:tblCellMar>
          <w:top w:w="0" w:type="dxa"/>
          <w:left w:w="108" w:type="dxa"/>
          <w:bottom w:w="0" w:type="dxa"/>
          <w:right w:w="108" w:type="dxa"/>
        </w:tblCellMar>
      </w:tblPr>
      <w:tblGrid>
        <w:gridCol w:w="3823"/>
        <w:gridCol w:w="1559"/>
        <w:gridCol w:w="1559"/>
      </w:tblGrid>
      <w:tr w14:paraId="38ACD96A">
        <w:tblPrEx>
          <w:tblCellMar>
            <w:top w:w="0" w:type="dxa"/>
            <w:left w:w="108" w:type="dxa"/>
            <w:bottom w:w="0" w:type="dxa"/>
            <w:right w:w="108" w:type="dxa"/>
          </w:tblCellMar>
        </w:tblPrEx>
        <w:trPr>
          <w:trHeight w:val="633" w:hRule="atLeast"/>
          <w:tblHeader/>
        </w:trPr>
        <w:tc>
          <w:tcPr>
            <w:tcW w:w="3823" w:type="dxa"/>
            <w:tcBorders>
              <w:top w:val="single" w:color="auto" w:sz="4" w:space="0"/>
              <w:left w:val="single" w:color="auto" w:sz="4" w:space="0"/>
              <w:bottom w:val="double" w:color="auto" w:sz="4" w:space="0"/>
              <w:right w:val="single" w:color="auto" w:sz="4" w:space="0"/>
            </w:tcBorders>
            <w:shd w:val="clear" w:color="auto" w:fill="auto"/>
            <w:vAlign w:val="center"/>
          </w:tcPr>
          <w:p w14:paraId="1B3B7BCB">
            <w:pPr>
              <w:pStyle w:val="150"/>
              <w:jc w:val="left"/>
              <w:rPr>
                <w:i/>
                <w:iCs w:val="0"/>
              </w:rPr>
            </w:pPr>
            <w:r>
              <w:rPr>
                <w:i/>
                <w:iCs w:val="0"/>
              </w:rPr>
              <w:t>Vrsta vode</w:t>
            </w:r>
          </w:p>
        </w:tc>
        <w:tc>
          <w:tcPr>
            <w:tcW w:w="1559" w:type="dxa"/>
            <w:tcBorders>
              <w:top w:val="single" w:color="auto" w:sz="4" w:space="0"/>
              <w:left w:val="nil"/>
              <w:bottom w:val="double" w:color="auto" w:sz="4" w:space="0"/>
              <w:right w:val="single" w:color="auto" w:sz="4" w:space="0"/>
            </w:tcBorders>
            <w:shd w:val="clear" w:color="auto" w:fill="auto"/>
            <w:vAlign w:val="center"/>
          </w:tcPr>
          <w:p w14:paraId="5408D32B">
            <w:pPr>
              <w:pStyle w:val="150"/>
              <w:rPr>
                <w:i/>
                <w:iCs w:val="0"/>
              </w:rPr>
            </w:pPr>
            <w:r>
              <w:rPr>
                <w:i/>
                <w:iCs w:val="0"/>
              </w:rPr>
              <w:t>Realizirano do 30. 9. 2024.</w:t>
            </w:r>
          </w:p>
        </w:tc>
        <w:tc>
          <w:tcPr>
            <w:tcW w:w="1559" w:type="dxa"/>
            <w:tcBorders>
              <w:top w:val="single" w:color="auto" w:sz="4" w:space="0"/>
              <w:left w:val="nil"/>
              <w:bottom w:val="double" w:color="auto" w:sz="4" w:space="0"/>
              <w:right w:val="single" w:color="auto" w:sz="4" w:space="0"/>
            </w:tcBorders>
            <w:vAlign w:val="center"/>
          </w:tcPr>
          <w:p w14:paraId="7199E9D7">
            <w:pPr>
              <w:pStyle w:val="150"/>
              <w:rPr>
                <w:i/>
                <w:iCs w:val="0"/>
              </w:rPr>
            </w:pPr>
            <w:r>
              <w:rPr>
                <w:i/>
                <w:iCs w:val="0"/>
              </w:rPr>
              <w:t>Planirano u 2025. g.</w:t>
            </w:r>
          </w:p>
        </w:tc>
      </w:tr>
      <w:tr w14:paraId="56805635">
        <w:tblPrEx>
          <w:tblCellMar>
            <w:top w:w="0" w:type="dxa"/>
            <w:left w:w="108" w:type="dxa"/>
            <w:bottom w:w="0" w:type="dxa"/>
            <w:right w:w="108" w:type="dxa"/>
          </w:tblCellMar>
        </w:tblPrEx>
        <w:trPr>
          <w:trHeight w:val="454" w:hRule="atLeast"/>
        </w:trPr>
        <w:tc>
          <w:tcPr>
            <w:tcW w:w="3823" w:type="dxa"/>
            <w:tcBorders>
              <w:top w:val="double" w:color="auto" w:sz="4" w:space="0"/>
              <w:left w:val="single" w:color="auto" w:sz="4" w:space="0"/>
              <w:bottom w:val="single" w:color="auto" w:sz="4" w:space="0"/>
              <w:right w:val="single" w:color="auto" w:sz="4" w:space="0"/>
            </w:tcBorders>
            <w:shd w:val="clear" w:color="auto" w:fill="auto"/>
            <w:vAlign w:val="center"/>
          </w:tcPr>
          <w:p w14:paraId="5A1D782B">
            <w:pPr>
              <w:pStyle w:val="150"/>
              <w:jc w:val="left"/>
            </w:pPr>
            <w:r>
              <w:t>Voda za ljudsku potrošnju</w:t>
            </w:r>
          </w:p>
        </w:tc>
        <w:tc>
          <w:tcPr>
            <w:tcW w:w="1559" w:type="dxa"/>
            <w:tcBorders>
              <w:top w:val="double" w:color="auto" w:sz="4" w:space="0"/>
              <w:left w:val="nil"/>
              <w:bottom w:val="single" w:color="auto" w:sz="4" w:space="0"/>
              <w:right w:val="single" w:color="auto" w:sz="4" w:space="0"/>
            </w:tcBorders>
            <w:shd w:val="clear" w:color="auto" w:fill="auto"/>
            <w:vAlign w:val="center"/>
          </w:tcPr>
          <w:p w14:paraId="37980075">
            <w:pPr>
              <w:pStyle w:val="150"/>
            </w:pPr>
            <w:r>
              <w:t>3.701</w:t>
            </w:r>
          </w:p>
        </w:tc>
        <w:tc>
          <w:tcPr>
            <w:tcW w:w="1559" w:type="dxa"/>
            <w:tcBorders>
              <w:top w:val="double" w:color="auto" w:sz="4" w:space="0"/>
              <w:left w:val="nil"/>
              <w:bottom w:val="single" w:color="auto" w:sz="4" w:space="0"/>
              <w:right w:val="single" w:color="auto" w:sz="4" w:space="0"/>
            </w:tcBorders>
            <w:vAlign w:val="center"/>
          </w:tcPr>
          <w:p w14:paraId="5D56657D">
            <w:pPr>
              <w:pStyle w:val="150"/>
            </w:pPr>
            <w:r>
              <w:t>5.000</w:t>
            </w:r>
          </w:p>
        </w:tc>
      </w:tr>
      <w:tr w14:paraId="47249A8B">
        <w:tblPrEx>
          <w:tblCellMar>
            <w:top w:w="0" w:type="dxa"/>
            <w:left w:w="108" w:type="dxa"/>
            <w:bottom w:w="0" w:type="dxa"/>
            <w:right w:w="108" w:type="dxa"/>
          </w:tblCellMar>
        </w:tblPrEx>
        <w:trPr>
          <w:trHeight w:val="45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14781B61">
            <w:pPr>
              <w:pStyle w:val="150"/>
              <w:jc w:val="left"/>
            </w:pPr>
            <w:r>
              <w:t>Otpadna voda</w:t>
            </w:r>
          </w:p>
        </w:tc>
        <w:tc>
          <w:tcPr>
            <w:tcW w:w="1559" w:type="dxa"/>
            <w:tcBorders>
              <w:top w:val="nil"/>
              <w:left w:val="nil"/>
              <w:bottom w:val="single" w:color="auto" w:sz="4" w:space="0"/>
              <w:right w:val="single" w:color="auto" w:sz="4" w:space="0"/>
            </w:tcBorders>
            <w:shd w:val="clear" w:color="auto" w:fill="auto"/>
            <w:vAlign w:val="center"/>
          </w:tcPr>
          <w:p w14:paraId="5EBF0FD5">
            <w:pPr>
              <w:pStyle w:val="150"/>
            </w:pPr>
            <w:r>
              <w:t>731</w:t>
            </w:r>
          </w:p>
        </w:tc>
        <w:tc>
          <w:tcPr>
            <w:tcW w:w="1559" w:type="dxa"/>
            <w:tcBorders>
              <w:top w:val="nil"/>
              <w:left w:val="nil"/>
              <w:bottom w:val="single" w:color="auto" w:sz="4" w:space="0"/>
              <w:right w:val="single" w:color="auto" w:sz="4" w:space="0"/>
            </w:tcBorders>
            <w:vAlign w:val="center"/>
          </w:tcPr>
          <w:p w14:paraId="62CF560A">
            <w:pPr>
              <w:pStyle w:val="150"/>
            </w:pPr>
            <w:r>
              <w:t>800</w:t>
            </w:r>
          </w:p>
        </w:tc>
      </w:tr>
      <w:tr w14:paraId="0188259E">
        <w:tblPrEx>
          <w:tblCellMar>
            <w:top w:w="0" w:type="dxa"/>
            <w:left w:w="108" w:type="dxa"/>
            <w:bottom w:w="0" w:type="dxa"/>
            <w:right w:w="108" w:type="dxa"/>
          </w:tblCellMar>
        </w:tblPrEx>
        <w:trPr>
          <w:trHeight w:val="45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6249A953">
            <w:pPr>
              <w:pStyle w:val="150"/>
              <w:jc w:val="left"/>
            </w:pPr>
            <w:r>
              <w:t>Podzemna voda</w:t>
            </w:r>
          </w:p>
        </w:tc>
        <w:tc>
          <w:tcPr>
            <w:tcW w:w="1559" w:type="dxa"/>
            <w:tcBorders>
              <w:top w:val="nil"/>
              <w:left w:val="nil"/>
              <w:bottom w:val="single" w:color="auto" w:sz="4" w:space="0"/>
              <w:right w:val="single" w:color="auto" w:sz="4" w:space="0"/>
            </w:tcBorders>
            <w:shd w:val="clear" w:color="auto" w:fill="auto"/>
            <w:vAlign w:val="center"/>
          </w:tcPr>
          <w:p w14:paraId="3EF1C565">
            <w:pPr>
              <w:pStyle w:val="150"/>
            </w:pPr>
            <w:r>
              <w:t>492</w:t>
            </w:r>
          </w:p>
        </w:tc>
        <w:tc>
          <w:tcPr>
            <w:tcW w:w="1559" w:type="dxa"/>
            <w:tcBorders>
              <w:top w:val="nil"/>
              <w:left w:val="nil"/>
              <w:bottom w:val="single" w:color="auto" w:sz="4" w:space="0"/>
              <w:right w:val="single" w:color="auto" w:sz="4" w:space="0"/>
            </w:tcBorders>
            <w:vAlign w:val="center"/>
          </w:tcPr>
          <w:p w14:paraId="5C2E9147">
            <w:pPr>
              <w:pStyle w:val="150"/>
            </w:pPr>
            <w:r>
              <w:t>630</w:t>
            </w:r>
          </w:p>
        </w:tc>
      </w:tr>
      <w:tr w14:paraId="4485B972">
        <w:tblPrEx>
          <w:tblCellMar>
            <w:top w:w="0" w:type="dxa"/>
            <w:left w:w="108" w:type="dxa"/>
            <w:bottom w:w="0" w:type="dxa"/>
            <w:right w:w="108" w:type="dxa"/>
          </w:tblCellMar>
        </w:tblPrEx>
        <w:trPr>
          <w:trHeight w:val="45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5F17C330">
            <w:pPr>
              <w:pStyle w:val="150"/>
              <w:jc w:val="left"/>
            </w:pPr>
            <w:r>
              <w:t>Voda za kupanje i rekreaciju</w:t>
            </w:r>
          </w:p>
        </w:tc>
        <w:tc>
          <w:tcPr>
            <w:tcW w:w="1559" w:type="dxa"/>
            <w:tcBorders>
              <w:top w:val="nil"/>
              <w:left w:val="nil"/>
              <w:bottom w:val="single" w:color="auto" w:sz="4" w:space="0"/>
              <w:right w:val="single" w:color="auto" w:sz="4" w:space="0"/>
            </w:tcBorders>
            <w:shd w:val="clear" w:color="auto" w:fill="auto"/>
            <w:vAlign w:val="center"/>
          </w:tcPr>
          <w:p w14:paraId="2DA7E966">
            <w:pPr>
              <w:pStyle w:val="150"/>
            </w:pPr>
            <w:r>
              <w:t>617</w:t>
            </w:r>
          </w:p>
        </w:tc>
        <w:tc>
          <w:tcPr>
            <w:tcW w:w="1559" w:type="dxa"/>
            <w:tcBorders>
              <w:top w:val="nil"/>
              <w:left w:val="nil"/>
              <w:bottom w:val="single" w:color="auto" w:sz="4" w:space="0"/>
              <w:right w:val="single" w:color="auto" w:sz="4" w:space="0"/>
            </w:tcBorders>
            <w:vAlign w:val="center"/>
          </w:tcPr>
          <w:p w14:paraId="1DB1AEA5">
            <w:pPr>
              <w:pStyle w:val="150"/>
            </w:pPr>
            <w:r>
              <w:t>700</w:t>
            </w:r>
          </w:p>
        </w:tc>
      </w:tr>
      <w:tr w14:paraId="1DC61CB1">
        <w:tblPrEx>
          <w:tblCellMar>
            <w:top w:w="0" w:type="dxa"/>
            <w:left w:w="108" w:type="dxa"/>
            <w:bottom w:w="0" w:type="dxa"/>
            <w:right w:w="108" w:type="dxa"/>
          </w:tblCellMar>
        </w:tblPrEx>
        <w:trPr>
          <w:trHeight w:val="454" w:hRule="atLeast"/>
        </w:trPr>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14:paraId="59282B85">
            <w:pPr>
              <w:pStyle w:val="150"/>
              <w:jc w:val="left"/>
            </w:pPr>
            <w:r>
              <w:t>Voda za posebne namjene</w:t>
            </w:r>
          </w:p>
        </w:tc>
        <w:tc>
          <w:tcPr>
            <w:tcW w:w="1559" w:type="dxa"/>
            <w:tcBorders>
              <w:top w:val="single" w:color="auto" w:sz="4" w:space="0"/>
              <w:left w:val="nil"/>
              <w:bottom w:val="single" w:color="auto" w:sz="4" w:space="0"/>
              <w:right w:val="single" w:color="auto" w:sz="4" w:space="0"/>
            </w:tcBorders>
            <w:shd w:val="clear" w:color="auto" w:fill="auto"/>
            <w:vAlign w:val="center"/>
          </w:tcPr>
          <w:p w14:paraId="751A76BD">
            <w:pPr>
              <w:pStyle w:val="150"/>
            </w:pPr>
            <w:r>
              <w:t>173</w:t>
            </w:r>
          </w:p>
        </w:tc>
        <w:tc>
          <w:tcPr>
            <w:tcW w:w="1559" w:type="dxa"/>
            <w:tcBorders>
              <w:top w:val="nil"/>
              <w:left w:val="nil"/>
              <w:bottom w:val="single" w:color="auto" w:sz="4" w:space="0"/>
              <w:right w:val="single" w:color="auto" w:sz="4" w:space="0"/>
            </w:tcBorders>
            <w:vAlign w:val="center"/>
          </w:tcPr>
          <w:p w14:paraId="134A204E">
            <w:pPr>
              <w:pStyle w:val="150"/>
            </w:pPr>
            <w:r>
              <w:t>300</w:t>
            </w:r>
          </w:p>
        </w:tc>
      </w:tr>
      <w:tr w14:paraId="151D6A05">
        <w:tblPrEx>
          <w:tblCellMar>
            <w:top w:w="0" w:type="dxa"/>
            <w:left w:w="108" w:type="dxa"/>
            <w:bottom w:w="0" w:type="dxa"/>
            <w:right w:w="108" w:type="dxa"/>
          </w:tblCellMar>
        </w:tblPrEx>
        <w:trPr>
          <w:trHeight w:val="454" w:hRule="atLeast"/>
        </w:trPr>
        <w:tc>
          <w:tcPr>
            <w:tcW w:w="3823" w:type="dxa"/>
            <w:tcBorders>
              <w:top w:val="nil"/>
              <w:left w:val="single" w:color="auto" w:sz="4" w:space="0"/>
              <w:bottom w:val="double" w:color="auto" w:sz="4" w:space="0"/>
              <w:right w:val="single" w:color="auto" w:sz="4" w:space="0"/>
            </w:tcBorders>
            <w:shd w:val="clear" w:color="auto" w:fill="auto"/>
            <w:vAlign w:val="center"/>
          </w:tcPr>
          <w:p w14:paraId="5447694C">
            <w:pPr>
              <w:pStyle w:val="150"/>
              <w:jc w:val="left"/>
            </w:pPr>
            <w:r>
              <w:t>Površinska voda</w:t>
            </w:r>
          </w:p>
        </w:tc>
        <w:tc>
          <w:tcPr>
            <w:tcW w:w="1559" w:type="dxa"/>
            <w:tcBorders>
              <w:top w:val="nil"/>
              <w:left w:val="nil"/>
              <w:bottom w:val="double" w:color="auto" w:sz="4" w:space="0"/>
              <w:right w:val="single" w:color="auto" w:sz="4" w:space="0"/>
            </w:tcBorders>
            <w:shd w:val="clear" w:color="auto" w:fill="auto"/>
            <w:vAlign w:val="center"/>
          </w:tcPr>
          <w:p w14:paraId="529F6EE3">
            <w:pPr>
              <w:pStyle w:val="150"/>
            </w:pPr>
            <w:r>
              <w:t>229</w:t>
            </w:r>
          </w:p>
        </w:tc>
        <w:tc>
          <w:tcPr>
            <w:tcW w:w="1559" w:type="dxa"/>
            <w:tcBorders>
              <w:top w:val="single" w:color="auto" w:sz="4" w:space="0"/>
              <w:left w:val="nil"/>
              <w:bottom w:val="double" w:color="auto" w:sz="4" w:space="0"/>
              <w:right w:val="single" w:color="auto" w:sz="4" w:space="0"/>
            </w:tcBorders>
            <w:vAlign w:val="center"/>
          </w:tcPr>
          <w:p w14:paraId="496DD1FB">
            <w:pPr>
              <w:pStyle w:val="150"/>
            </w:pPr>
            <w:r>
              <w:t>250</w:t>
            </w:r>
          </w:p>
        </w:tc>
      </w:tr>
      <w:tr w14:paraId="5694AF1D">
        <w:tblPrEx>
          <w:tblCellMar>
            <w:top w:w="0" w:type="dxa"/>
            <w:left w:w="108" w:type="dxa"/>
            <w:bottom w:w="0" w:type="dxa"/>
            <w:right w:w="108" w:type="dxa"/>
          </w:tblCellMar>
        </w:tblPrEx>
        <w:trPr>
          <w:trHeight w:val="538" w:hRule="atLeast"/>
        </w:trPr>
        <w:tc>
          <w:tcPr>
            <w:tcW w:w="3823" w:type="dxa"/>
            <w:tcBorders>
              <w:top w:val="double" w:color="auto" w:sz="4" w:space="0"/>
              <w:left w:val="single" w:color="auto" w:sz="4" w:space="0"/>
              <w:bottom w:val="single" w:color="auto" w:sz="4" w:space="0"/>
              <w:right w:val="single" w:color="auto" w:sz="4" w:space="0"/>
            </w:tcBorders>
            <w:shd w:val="clear" w:color="auto" w:fill="auto"/>
            <w:vAlign w:val="center"/>
          </w:tcPr>
          <w:p w14:paraId="24790182">
            <w:pPr>
              <w:pStyle w:val="150"/>
              <w:jc w:val="left"/>
              <w:rPr>
                <w:i/>
                <w:iCs w:val="0"/>
              </w:rPr>
            </w:pPr>
            <w:r>
              <w:rPr>
                <w:i/>
                <w:iCs w:val="0"/>
              </w:rPr>
              <w:t>Ukupno</w:t>
            </w:r>
          </w:p>
        </w:tc>
        <w:tc>
          <w:tcPr>
            <w:tcW w:w="1559" w:type="dxa"/>
            <w:tcBorders>
              <w:top w:val="double" w:color="auto" w:sz="4" w:space="0"/>
              <w:left w:val="nil"/>
              <w:bottom w:val="single" w:color="auto" w:sz="4" w:space="0"/>
              <w:right w:val="single" w:color="auto" w:sz="4" w:space="0"/>
            </w:tcBorders>
            <w:shd w:val="clear" w:color="auto" w:fill="auto"/>
            <w:vAlign w:val="center"/>
          </w:tcPr>
          <w:p w14:paraId="513B9AD6">
            <w:pPr>
              <w:pStyle w:val="150"/>
            </w:pPr>
            <w:r>
              <w:t>5.943</w:t>
            </w:r>
          </w:p>
        </w:tc>
        <w:tc>
          <w:tcPr>
            <w:tcW w:w="1559" w:type="dxa"/>
            <w:tcBorders>
              <w:top w:val="double" w:color="auto" w:sz="4" w:space="0"/>
              <w:left w:val="nil"/>
              <w:bottom w:val="single" w:color="auto" w:sz="4" w:space="0"/>
              <w:right w:val="single" w:color="auto" w:sz="4" w:space="0"/>
            </w:tcBorders>
            <w:shd w:val="clear" w:color="auto" w:fill="auto"/>
            <w:vAlign w:val="center"/>
          </w:tcPr>
          <w:p w14:paraId="76AFEFF0">
            <w:pPr>
              <w:pStyle w:val="150"/>
            </w:pPr>
            <w:r>
              <w:t>7.680</w:t>
            </w:r>
          </w:p>
        </w:tc>
      </w:tr>
    </w:tbl>
    <w:p w14:paraId="210EDF27">
      <w:pPr>
        <w:rPr>
          <w:color w:val="000000" w:themeColor="text1"/>
          <w14:textFill>
            <w14:solidFill>
              <w14:schemeClr w14:val="tx1"/>
            </w14:solidFill>
          </w14:textFill>
        </w:rPr>
      </w:pPr>
    </w:p>
    <w:p w14:paraId="31BE9E97">
      <w:r>
        <w:br w:type="page"/>
      </w:r>
    </w:p>
    <w:p w14:paraId="04222E29">
      <w:pPr>
        <w:rPr>
          <w:i/>
          <w:iCs/>
          <w:color w:val="000000" w:themeColor="text1"/>
          <w14:textFill>
            <w14:solidFill>
              <w14:schemeClr w14:val="tx1"/>
            </w14:solidFill>
          </w14:textFill>
        </w:rPr>
      </w:pPr>
      <w:r>
        <w:rPr>
          <w:i/>
          <w:iCs/>
          <w:color w:val="000000" w:themeColor="text1"/>
          <w14:textFill>
            <w14:solidFill>
              <w14:schemeClr w14:val="tx1"/>
            </w14:solidFill>
          </w14:textFill>
        </w:rPr>
        <w:t>Tablica 2. – Realizirane usluge i mjerenja u razdoblju od 1. 1. do 30. 9. 2024. godine i planirano u 2025. godini u vezi sa sanitarnom tehnikom</w:t>
      </w:r>
    </w:p>
    <w:tbl>
      <w:tblPr>
        <w:tblStyle w:val="12"/>
        <w:tblW w:w="6941" w:type="dxa"/>
        <w:tblInd w:w="0" w:type="dxa"/>
        <w:tblLayout w:type="fixed"/>
        <w:tblCellMar>
          <w:top w:w="0" w:type="dxa"/>
          <w:left w:w="108" w:type="dxa"/>
          <w:bottom w:w="0" w:type="dxa"/>
          <w:right w:w="108" w:type="dxa"/>
        </w:tblCellMar>
      </w:tblPr>
      <w:tblGrid>
        <w:gridCol w:w="3823"/>
        <w:gridCol w:w="1559"/>
        <w:gridCol w:w="1559"/>
      </w:tblGrid>
      <w:tr w14:paraId="400BCBA4">
        <w:tblPrEx>
          <w:tblCellMar>
            <w:top w:w="0" w:type="dxa"/>
            <w:left w:w="108" w:type="dxa"/>
            <w:bottom w:w="0" w:type="dxa"/>
            <w:right w:w="108" w:type="dxa"/>
          </w:tblCellMar>
        </w:tblPrEx>
        <w:trPr>
          <w:trHeight w:val="926" w:hRule="atLeast"/>
        </w:trPr>
        <w:tc>
          <w:tcPr>
            <w:tcW w:w="3823" w:type="dxa"/>
            <w:tcBorders>
              <w:top w:val="single" w:color="auto" w:sz="4" w:space="0"/>
              <w:left w:val="single" w:color="auto" w:sz="4" w:space="0"/>
              <w:bottom w:val="double" w:color="auto" w:sz="4" w:space="0"/>
              <w:right w:val="single" w:color="auto" w:sz="4" w:space="0"/>
            </w:tcBorders>
            <w:shd w:val="clear" w:color="auto" w:fill="auto"/>
            <w:vAlign w:val="center"/>
          </w:tcPr>
          <w:p w14:paraId="2E518887">
            <w:pPr>
              <w:pStyle w:val="150"/>
              <w:jc w:val="left"/>
              <w:rPr>
                <w:i/>
                <w:iCs w:val="0"/>
              </w:rPr>
            </w:pPr>
            <w:r>
              <w:rPr>
                <w:i/>
                <w:iCs w:val="0"/>
              </w:rPr>
              <w:t>Vrsta zahtjeva</w:t>
            </w:r>
          </w:p>
        </w:tc>
        <w:tc>
          <w:tcPr>
            <w:tcW w:w="1559" w:type="dxa"/>
            <w:tcBorders>
              <w:top w:val="single" w:color="auto" w:sz="4" w:space="0"/>
              <w:left w:val="nil"/>
              <w:bottom w:val="double" w:color="auto" w:sz="4" w:space="0"/>
              <w:right w:val="single" w:color="auto" w:sz="4" w:space="0"/>
            </w:tcBorders>
            <w:shd w:val="clear" w:color="auto" w:fill="auto"/>
            <w:vAlign w:val="center"/>
          </w:tcPr>
          <w:p w14:paraId="08EF6E46">
            <w:pPr>
              <w:pStyle w:val="150"/>
              <w:rPr>
                <w:i/>
                <w:iCs w:val="0"/>
              </w:rPr>
            </w:pPr>
            <w:r>
              <w:rPr>
                <w:i/>
                <w:iCs w:val="0"/>
              </w:rPr>
              <w:t>Realizirano do 30. 9. 2024.</w:t>
            </w:r>
          </w:p>
        </w:tc>
        <w:tc>
          <w:tcPr>
            <w:tcW w:w="1559" w:type="dxa"/>
            <w:tcBorders>
              <w:top w:val="single" w:color="auto" w:sz="4" w:space="0"/>
              <w:left w:val="nil"/>
              <w:bottom w:val="double" w:color="auto" w:sz="4" w:space="0"/>
              <w:right w:val="single" w:color="auto" w:sz="4" w:space="0"/>
            </w:tcBorders>
            <w:shd w:val="clear" w:color="auto" w:fill="auto"/>
            <w:vAlign w:val="center"/>
          </w:tcPr>
          <w:p w14:paraId="646634FD">
            <w:pPr>
              <w:pStyle w:val="150"/>
              <w:rPr>
                <w:i/>
                <w:iCs w:val="0"/>
              </w:rPr>
            </w:pPr>
            <w:r>
              <w:rPr>
                <w:i/>
                <w:iCs w:val="0"/>
              </w:rPr>
              <w:t>Planirano u 2025. g.</w:t>
            </w:r>
          </w:p>
        </w:tc>
      </w:tr>
      <w:tr w14:paraId="59497C45">
        <w:tblPrEx>
          <w:tblCellMar>
            <w:top w:w="0" w:type="dxa"/>
            <w:left w:w="108" w:type="dxa"/>
            <w:bottom w:w="0" w:type="dxa"/>
            <w:right w:w="108" w:type="dxa"/>
          </w:tblCellMar>
        </w:tblPrEx>
        <w:trPr>
          <w:trHeight w:val="624" w:hRule="atLeast"/>
        </w:trPr>
        <w:tc>
          <w:tcPr>
            <w:tcW w:w="3823" w:type="dxa"/>
            <w:tcBorders>
              <w:top w:val="double" w:color="auto" w:sz="4" w:space="0"/>
              <w:left w:val="single" w:color="auto" w:sz="4" w:space="0"/>
              <w:bottom w:val="single" w:color="auto" w:sz="4" w:space="0"/>
              <w:right w:val="single" w:color="auto" w:sz="4" w:space="0"/>
            </w:tcBorders>
            <w:shd w:val="clear" w:color="auto" w:fill="auto"/>
            <w:vAlign w:val="center"/>
          </w:tcPr>
          <w:p w14:paraId="1F90247A">
            <w:pPr>
              <w:pStyle w:val="150"/>
              <w:jc w:val="left"/>
            </w:pPr>
            <w:r>
              <w:t>Pijezometri – crpljenje i mjerenje nivoa</w:t>
            </w:r>
          </w:p>
        </w:tc>
        <w:tc>
          <w:tcPr>
            <w:tcW w:w="1559" w:type="dxa"/>
            <w:tcBorders>
              <w:top w:val="double" w:color="auto" w:sz="4" w:space="0"/>
              <w:left w:val="nil"/>
              <w:bottom w:val="single" w:color="auto" w:sz="4" w:space="0"/>
              <w:right w:val="single" w:color="auto" w:sz="4" w:space="0"/>
            </w:tcBorders>
            <w:shd w:val="clear" w:color="auto" w:fill="auto"/>
            <w:noWrap/>
            <w:vAlign w:val="center"/>
          </w:tcPr>
          <w:p w14:paraId="77D42440">
            <w:pPr>
              <w:pStyle w:val="150"/>
            </w:pPr>
            <w:r>
              <w:t>414</w:t>
            </w:r>
          </w:p>
        </w:tc>
        <w:tc>
          <w:tcPr>
            <w:tcW w:w="1559" w:type="dxa"/>
            <w:tcBorders>
              <w:top w:val="double" w:color="auto" w:sz="4" w:space="0"/>
              <w:left w:val="nil"/>
              <w:bottom w:val="single" w:color="auto" w:sz="4" w:space="0"/>
              <w:right w:val="single" w:color="auto" w:sz="4" w:space="0"/>
            </w:tcBorders>
            <w:shd w:val="clear" w:color="auto" w:fill="auto"/>
            <w:noWrap/>
            <w:vAlign w:val="center"/>
          </w:tcPr>
          <w:p w14:paraId="207F937A">
            <w:pPr>
              <w:pStyle w:val="150"/>
            </w:pPr>
            <w:r>
              <w:t>500</w:t>
            </w:r>
          </w:p>
        </w:tc>
      </w:tr>
      <w:tr w14:paraId="391EF493">
        <w:tblPrEx>
          <w:tblCellMar>
            <w:top w:w="0" w:type="dxa"/>
            <w:left w:w="108" w:type="dxa"/>
            <w:bottom w:w="0" w:type="dxa"/>
            <w:right w:w="108" w:type="dxa"/>
          </w:tblCellMar>
        </w:tblPrEx>
        <w:trPr>
          <w:trHeight w:val="62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733151CF">
            <w:pPr>
              <w:pStyle w:val="150"/>
              <w:jc w:val="left"/>
            </w:pPr>
            <w:r>
              <w:t>Mjerenje protoka – otpadne vode</w:t>
            </w:r>
          </w:p>
        </w:tc>
        <w:tc>
          <w:tcPr>
            <w:tcW w:w="1559" w:type="dxa"/>
            <w:tcBorders>
              <w:top w:val="nil"/>
              <w:left w:val="nil"/>
              <w:bottom w:val="single" w:color="auto" w:sz="4" w:space="0"/>
              <w:right w:val="single" w:color="auto" w:sz="4" w:space="0"/>
            </w:tcBorders>
            <w:shd w:val="clear" w:color="auto" w:fill="auto"/>
            <w:noWrap/>
            <w:vAlign w:val="center"/>
          </w:tcPr>
          <w:p w14:paraId="461C5DDF">
            <w:pPr>
              <w:pStyle w:val="150"/>
            </w:pPr>
            <w:r>
              <w:t>259</w:t>
            </w:r>
          </w:p>
        </w:tc>
        <w:tc>
          <w:tcPr>
            <w:tcW w:w="1559" w:type="dxa"/>
            <w:tcBorders>
              <w:top w:val="nil"/>
              <w:left w:val="nil"/>
              <w:bottom w:val="single" w:color="auto" w:sz="4" w:space="0"/>
              <w:right w:val="single" w:color="auto" w:sz="4" w:space="0"/>
            </w:tcBorders>
            <w:shd w:val="clear" w:color="auto" w:fill="auto"/>
            <w:noWrap/>
            <w:vAlign w:val="center"/>
          </w:tcPr>
          <w:p w14:paraId="494A0E9A">
            <w:pPr>
              <w:pStyle w:val="150"/>
            </w:pPr>
            <w:r>
              <w:t>300</w:t>
            </w:r>
          </w:p>
        </w:tc>
      </w:tr>
      <w:tr w14:paraId="31473CA2">
        <w:tblPrEx>
          <w:tblCellMar>
            <w:top w:w="0" w:type="dxa"/>
            <w:left w:w="108" w:type="dxa"/>
            <w:bottom w:w="0" w:type="dxa"/>
            <w:right w:w="108" w:type="dxa"/>
          </w:tblCellMar>
        </w:tblPrEx>
        <w:trPr>
          <w:trHeight w:val="62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739981F1">
            <w:pPr>
              <w:pStyle w:val="150"/>
              <w:jc w:val="left"/>
            </w:pPr>
            <w:r>
              <w:t>Sabirne jame – vodonepropusnost</w:t>
            </w:r>
          </w:p>
        </w:tc>
        <w:tc>
          <w:tcPr>
            <w:tcW w:w="1559" w:type="dxa"/>
            <w:tcBorders>
              <w:top w:val="nil"/>
              <w:left w:val="nil"/>
              <w:bottom w:val="single" w:color="auto" w:sz="4" w:space="0"/>
              <w:right w:val="single" w:color="auto" w:sz="4" w:space="0"/>
            </w:tcBorders>
            <w:shd w:val="clear" w:color="auto" w:fill="auto"/>
            <w:noWrap/>
            <w:vAlign w:val="center"/>
          </w:tcPr>
          <w:p w14:paraId="631AF2E2">
            <w:pPr>
              <w:pStyle w:val="150"/>
            </w:pPr>
            <w:r>
              <w:t>13</w:t>
            </w:r>
          </w:p>
        </w:tc>
        <w:tc>
          <w:tcPr>
            <w:tcW w:w="1559" w:type="dxa"/>
            <w:tcBorders>
              <w:top w:val="nil"/>
              <w:left w:val="nil"/>
              <w:bottom w:val="single" w:color="auto" w:sz="4" w:space="0"/>
              <w:right w:val="single" w:color="auto" w:sz="4" w:space="0"/>
            </w:tcBorders>
            <w:shd w:val="clear" w:color="auto" w:fill="auto"/>
            <w:noWrap/>
            <w:vAlign w:val="center"/>
          </w:tcPr>
          <w:p w14:paraId="1BE4BD84">
            <w:pPr>
              <w:pStyle w:val="150"/>
            </w:pPr>
            <w:r>
              <w:t>15</w:t>
            </w:r>
          </w:p>
        </w:tc>
      </w:tr>
      <w:tr w14:paraId="6CC10AB0">
        <w:tblPrEx>
          <w:tblCellMar>
            <w:top w:w="0" w:type="dxa"/>
            <w:left w:w="108" w:type="dxa"/>
            <w:bottom w:w="0" w:type="dxa"/>
            <w:right w:w="108" w:type="dxa"/>
          </w:tblCellMar>
        </w:tblPrEx>
        <w:trPr>
          <w:trHeight w:val="62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14EDD7DD">
            <w:pPr>
              <w:pStyle w:val="150"/>
              <w:jc w:val="left"/>
            </w:pPr>
            <w:r>
              <w:t>Kanalizacija – vodonepropusnost</w:t>
            </w:r>
          </w:p>
        </w:tc>
        <w:tc>
          <w:tcPr>
            <w:tcW w:w="1559" w:type="dxa"/>
            <w:tcBorders>
              <w:top w:val="nil"/>
              <w:left w:val="nil"/>
              <w:bottom w:val="single" w:color="auto" w:sz="4" w:space="0"/>
              <w:right w:val="single" w:color="auto" w:sz="4" w:space="0"/>
            </w:tcBorders>
            <w:shd w:val="clear" w:color="auto" w:fill="auto"/>
            <w:noWrap/>
            <w:vAlign w:val="center"/>
          </w:tcPr>
          <w:p w14:paraId="037EF7EE">
            <w:pPr>
              <w:pStyle w:val="150"/>
            </w:pPr>
            <w:r>
              <w:t>1</w:t>
            </w:r>
          </w:p>
        </w:tc>
        <w:tc>
          <w:tcPr>
            <w:tcW w:w="1559" w:type="dxa"/>
            <w:tcBorders>
              <w:top w:val="nil"/>
              <w:left w:val="nil"/>
              <w:bottom w:val="single" w:color="auto" w:sz="4" w:space="0"/>
              <w:right w:val="single" w:color="auto" w:sz="4" w:space="0"/>
            </w:tcBorders>
            <w:shd w:val="clear" w:color="auto" w:fill="auto"/>
            <w:noWrap/>
            <w:vAlign w:val="center"/>
          </w:tcPr>
          <w:p w14:paraId="38FA133E">
            <w:pPr>
              <w:pStyle w:val="150"/>
            </w:pPr>
            <w:r>
              <w:t>5</w:t>
            </w:r>
          </w:p>
        </w:tc>
      </w:tr>
      <w:tr w14:paraId="1A3FD832">
        <w:tblPrEx>
          <w:tblCellMar>
            <w:top w:w="0" w:type="dxa"/>
            <w:left w:w="108" w:type="dxa"/>
            <w:bottom w:w="0" w:type="dxa"/>
            <w:right w:w="108" w:type="dxa"/>
          </w:tblCellMar>
        </w:tblPrEx>
        <w:trPr>
          <w:trHeight w:val="624" w:hRule="atLeast"/>
        </w:trPr>
        <w:tc>
          <w:tcPr>
            <w:tcW w:w="3823" w:type="dxa"/>
            <w:tcBorders>
              <w:top w:val="nil"/>
              <w:left w:val="single" w:color="auto" w:sz="4" w:space="0"/>
              <w:bottom w:val="single" w:color="auto" w:sz="4" w:space="0"/>
              <w:right w:val="single" w:color="auto" w:sz="4" w:space="0"/>
            </w:tcBorders>
            <w:shd w:val="clear" w:color="auto" w:fill="auto"/>
            <w:vAlign w:val="center"/>
          </w:tcPr>
          <w:p w14:paraId="44C3E19F">
            <w:pPr>
              <w:pStyle w:val="150"/>
              <w:jc w:val="left"/>
            </w:pPr>
            <w:r>
              <w:t>Separator – vodonepropusnost</w:t>
            </w:r>
          </w:p>
        </w:tc>
        <w:tc>
          <w:tcPr>
            <w:tcW w:w="1559" w:type="dxa"/>
            <w:tcBorders>
              <w:top w:val="nil"/>
              <w:left w:val="nil"/>
              <w:bottom w:val="single" w:color="auto" w:sz="4" w:space="0"/>
              <w:right w:val="single" w:color="auto" w:sz="4" w:space="0"/>
            </w:tcBorders>
            <w:shd w:val="clear" w:color="auto" w:fill="auto"/>
            <w:noWrap/>
            <w:vAlign w:val="center"/>
          </w:tcPr>
          <w:p w14:paraId="29B368F4">
            <w:pPr>
              <w:pStyle w:val="150"/>
            </w:pPr>
            <w:r>
              <w:t>1</w:t>
            </w:r>
          </w:p>
        </w:tc>
        <w:tc>
          <w:tcPr>
            <w:tcW w:w="1559" w:type="dxa"/>
            <w:tcBorders>
              <w:top w:val="nil"/>
              <w:left w:val="nil"/>
              <w:bottom w:val="single" w:color="auto" w:sz="4" w:space="0"/>
              <w:right w:val="single" w:color="auto" w:sz="4" w:space="0"/>
            </w:tcBorders>
            <w:shd w:val="clear" w:color="auto" w:fill="auto"/>
            <w:noWrap/>
            <w:vAlign w:val="center"/>
          </w:tcPr>
          <w:p w14:paraId="62CE2A76">
            <w:pPr>
              <w:pStyle w:val="150"/>
            </w:pPr>
            <w:r>
              <w:t>5</w:t>
            </w:r>
          </w:p>
        </w:tc>
      </w:tr>
      <w:tr w14:paraId="0B2F0DE4">
        <w:tblPrEx>
          <w:tblCellMar>
            <w:top w:w="0" w:type="dxa"/>
            <w:left w:w="108" w:type="dxa"/>
            <w:bottom w:w="0" w:type="dxa"/>
            <w:right w:w="108" w:type="dxa"/>
          </w:tblCellMar>
        </w:tblPrEx>
        <w:trPr>
          <w:trHeight w:val="624" w:hRule="atLeast"/>
        </w:trPr>
        <w:tc>
          <w:tcPr>
            <w:tcW w:w="3823" w:type="dxa"/>
            <w:tcBorders>
              <w:top w:val="nil"/>
              <w:left w:val="single" w:color="auto" w:sz="4" w:space="0"/>
              <w:bottom w:val="double" w:color="auto" w:sz="4" w:space="0"/>
              <w:right w:val="single" w:color="auto" w:sz="4" w:space="0"/>
            </w:tcBorders>
            <w:shd w:val="clear" w:color="auto" w:fill="auto"/>
            <w:vAlign w:val="center"/>
          </w:tcPr>
          <w:p w14:paraId="1E55BC26">
            <w:pPr>
              <w:pStyle w:val="150"/>
              <w:jc w:val="left"/>
            </w:pPr>
            <w:r>
              <w:t>Hiperkloriranje zdenaca i mreže</w:t>
            </w:r>
          </w:p>
        </w:tc>
        <w:tc>
          <w:tcPr>
            <w:tcW w:w="1559" w:type="dxa"/>
            <w:tcBorders>
              <w:top w:val="single" w:color="auto" w:sz="4" w:space="0"/>
              <w:left w:val="nil"/>
              <w:bottom w:val="double" w:color="auto" w:sz="4" w:space="0"/>
              <w:right w:val="single" w:color="auto" w:sz="4" w:space="0"/>
            </w:tcBorders>
            <w:shd w:val="clear" w:color="auto" w:fill="auto"/>
            <w:noWrap/>
            <w:vAlign w:val="center"/>
          </w:tcPr>
          <w:p w14:paraId="5A1FCA4E">
            <w:pPr>
              <w:pStyle w:val="150"/>
            </w:pPr>
            <w:r>
              <w:t>1</w:t>
            </w:r>
          </w:p>
        </w:tc>
        <w:tc>
          <w:tcPr>
            <w:tcW w:w="1559" w:type="dxa"/>
            <w:tcBorders>
              <w:top w:val="single" w:color="auto" w:sz="4" w:space="0"/>
              <w:left w:val="nil"/>
              <w:bottom w:val="double" w:color="auto" w:sz="4" w:space="0"/>
              <w:right w:val="single" w:color="auto" w:sz="4" w:space="0"/>
            </w:tcBorders>
            <w:shd w:val="clear" w:color="auto" w:fill="auto"/>
            <w:noWrap/>
            <w:vAlign w:val="center"/>
          </w:tcPr>
          <w:p w14:paraId="10A0FDA3">
            <w:pPr>
              <w:pStyle w:val="150"/>
            </w:pPr>
            <w:r>
              <w:t>5</w:t>
            </w:r>
          </w:p>
        </w:tc>
      </w:tr>
      <w:tr w14:paraId="48708BDE">
        <w:tblPrEx>
          <w:tblCellMar>
            <w:top w:w="0" w:type="dxa"/>
            <w:left w:w="108" w:type="dxa"/>
            <w:bottom w:w="0" w:type="dxa"/>
            <w:right w:w="108" w:type="dxa"/>
          </w:tblCellMar>
        </w:tblPrEx>
        <w:trPr>
          <w:trHeight w:val="680" w:hRule="atLeast"/>
        </w:trPr>
        <w:tc>
          <w:tcPr>
            <w:tcW w:w="3823" w:type="dxa"/>
            <w:tcBorders>
              <w:top w:val="double" w:color="auto" w:sz="4" w:space="0"/>
              <w:left w:val="single" w:color="auto" w:sz="4" w:space="0"/>
              <w:bottom w:val="single" w:color="auto" w:sz="4" w:space="0"/>
              <w:right w:val="single" w:color="auto" w:sz="4" w:space="0"/>
            </w:tcBorders>
            <w:shd w:val="clear" w:color="auto" w:fill="auto"/>
            <w:vAlign w:val="center"/>
          </w:tcPr>
          <w:p w14:paraId="273495BB">
            <w:pPr>
              <w:pStyle w:val="150"/>
              <w:jc w:val="left"/>
              <w:rPr>
                <w:i/>
              </w:rPr>
            </w:pPr>
            <w:r>
              <w:rPr>
                <w:i/>
              </w:rPr>
              <w:t>Ukupno</w:t>
            </w:r>
          </w:p>
        </w:tc>
        <w:tc>
          <w:tcPr>
            <w:tcW w:w="1559" w:type="dxa"/>
            <w:tcBorders>
              <w:top w:val="double" w:color="auto" w:sz="4" w:space="0"/>
              <w:left w:val="nil"/>
              <w:bottom w:val="single" w:color="auto" w:sz="4" w:space="0"/>
              <w:right w:val="single" w:color="auto" w:sz="4" w:space="0"/>
            </w:tcBorders>
            <w:shd w:val="clear" w:color="auto" w:fill="auto"/>
            <w:vAlign w:val="center"/>
          </w:tcPr>
          <w:p w14:paraId="2760FFBA">
            <w:pPr>
              <w:pStyle w:val="150"/>
            </w:pPr>
            <w:r>
              <w:t>689</w:t>
            </w:r>
          </w:p>
        </w:tc>
        <w:tc>
          <w:tcPr>
            <w:tcW w:w="1559" w:type="dxa"/>
            <w:tcBorders>
              <w:top w:val="double" w:color="auto" w:sz="4" w:space="0"/>
              <w:left w:val="nil"/>
              <w:bottom w:val="single" w:color="auto" w:sz="4" w:space="0"/>
              <w:right w:val="single" w:color="auto" w:sz="4" w:space="0"/>
            </w:tcBorders>
            <w:shd w:val="clear" w:color="auto" w:fill="auto"/>
            <w:vAlign w:val="center"/>
          </w:tcPr>
          <w:p w14:paraId="4F3F3F69">
            <w:pPr>
              <w:pStyle w:val="150"/>
            </w:pPr>
            <w:r>
              <w:t>830</w:t>
            </w:r>
          </w:p>
        </w:tc>
      </w:tr>
    </w:tbl>
    <w:p w14:paraId="477CECC4"/>
    <w:p w14:paraId="3B6F5986"/>
    <w:p w14:paraId="6DDE9B74">
      <w:pPr>
        <w:rPr>
          <w:i/>
          <w:iCs/>
          <w:color w:val="000000" w:themeColor="text1"/>
          <w14:textFill>
            <w14:solidFill>
              <w14:schemeClr w14:val="tx1"/>
            </w14:solidFill>
          </w14:textFill>
        </w:rPr>
      </w:pPr>
      <w:r>
        <w:rPr>
          <w:i/>
          <w:iCs/>
          <w:color w:val="000000" w:themeColor="text1"/>
          <w14:textFill>
            <w14:solidFill>
              <w14:schemeClr w14:val="tx1"/>
            </w14:solidFill>
          </w14:textFill>
        </w:rPr>
        <w:t>Tablica 3. – Realizirano u razdoblju od 1. 1. do 30. 9. 2024. godine i planirano u 2025. godini –za predmete opće uporabe 056</w:t>
      </w:r>
      <w:r>
        <w:rPr>
          <w:b/>
          <w:i/>
          <w:iCs/>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(predmeti i materijali koji dolaze u kontakt s hranom i predmeti široke potrošnje) prema naručitelju </w:t>
      </w:r>
    </w:p>
    <w:tbl>
      <w:tblPr>
        <w:tblStyle w:val="12"/>
        <w:tblW w:w="5000" w:type="pct"/>
        <w:tblInd w:w="0" w:type="dxa"/>
        <w:tblLayout w:type="autofit"/>
        <w:tblCellMar>
          <w:top w:w="0" w:type="dxa"/>
          <w:left w:w="108" w:type="dxa"/>
          <w:bottom w:w="0" w:type="dxa"/>
          <w:right w:w="108" w:type="dxa"/>
        </w:tblCellMar>
      </w:tblPr>
      <w:tblGrid>
        <w:gridCol w:w="6243"/>
        <w:gridCol w:w="1598"/>
        <w:gridCol w:w="1447"/>
      </w:tblGrid>
      <w:tr w14:paraId="3F0A236F">
        <w:tblPrEx>
          <w:tblCellMar>
            <w:top w:w="0" w:type="dxa"/>
            <w:left w:w="108" w:type="dxa"/>
            <w:bottom w:w="0" w:type="dxa"/>
            <w:right w:w="108" w:type="dxa"/>
          </w:tblCellMar>
        </w:tblPrEx>
        <w:trPr>
          <w:trHeight w:val="911" w:hRule="atLeast"/>
        </w:trPr>
        <w:tc>
          <w:tcPr>
            <w:tcW w:w="3361" w:type="pct"/>
            <w:tcBorders>
              <w:top w:val="single" w:color="auto" w:sz="4" w:space="0"/>
              <w:left w:val="single" w:color="auto" w:sz="4" w:space="0"/>
              <w:bottom w:val="double" w:color="auto" w:sz="4" w:space="0"/>
              <w:right w:val="single" w:color="auto" w:sz="4" w:space="0"/>
            </w:tcBorders>
            <w:shd w:val="clear" w:color="auto" w:fill="auto"/>
            <w:vAlign w:val="center"/>
          </w:tcPr>
          <w:p w14:paraId="0FFE9C5E">
            <w:pPr>
              <w:spacing w:after="0"/>
              <w:jc w:val="left"/>
              <w:rPr>
                <w:i/>
                <w:iCs/>
                <w:color w:val="000000" w:themeColor="text1"/>
                <w:sz w:val="22"/>
                <w:szCs w:val="20"/>
                <w14:textFill>
                  <w14:solidFill>
                    <w14:schemeClr w14:val="tx1"/>
                  </w14:solidFill>
                </w14:textFill>
              </w:rPr>
            </w:pPr>
            <w:r>
              <w:rPr>
                <w:i/>
                <w:iCs/>
                <w:color w:val="000000" w:themeColor="text1"/>
                <w:sz w:val="22"/>
                <w:szCs w:val="20"/>
                <w14:textFill>
                  <w14:solidFill>
                    <w14:schemeClr w14:val="tx1"/>
                  </w14:solidFill>
                </w14:textFill>
              </w:rPr>
              <w:t>Naručitelj</w:t>
            </w:r>
          </w:p>
        </w:tc>
        <w:tc>
          <w:tcPr>
            <w:tcW w:w="860" w:type="pct"/>
            <w:tcBorders>
              <w:top w:val="single" w:color="auto" w:sz="4" w:space="0"/>
              <w:left w:val="nil"/>
              <w:bottom w:val="double" w:color="auto" w:sz="4" w:space="0"/>
              <w:right w:val="single" w:color="auto" w:sz="4" w:space="0"/>
            </w:tcBorders>
            <w:shd w:val="clear" w:color="auto" w:fill="auto"/>
            <w:vAlign w:val="center"/>
          </w:tcPr>
          <w:p w14:paraId="35C172ED">
            <w:pPr>
              <w:spacing w:after="0"/>
              <w:jc w:val="right"/>
              <w:rPr>
                <w:i/>
                <w:iCs/>
                <w:color w:val="000000" w:themeColor="text1"/>
                <w:sz w:val="22"/>
                <w:szCs w:val="20"/>
                <w14:textFill>
                  <w14:solidFill>
                    <w14:schemeClr w14:val="tx1"/>
                  </w14:solidFill>
                </w14:textFill>
              </w:rPr>
            </w:pPr>
            <w:r>
              <w:rPr>
                <w:i/>
                <w:iCs/>
                <w:color w:val="000000" w:themeColor="text1"/>
                <w:sz w:val="22"/>
                <w:szCs w:val="20"/>
                <w14:textFill>
                  <w14:solidFill>
                    <w14:schemeClr w14:val="tx1"/>
                  </w14:solidFill>
                </w14:textFill>
              </w:rPr>
              <w:t>Realizirano do 30. 9. 2024.</w:t>
            </w:r>
          </w:p>
        </w:tc>
        <w:tc>
          <w:tcPr>
            <w:tcW w:w="779" w:type="pct"/>
            <w:tcBorders>
              <w:top w:val="single" w:color="auto" w:sz="4" w:space="0"/>
              <w:left w:val="nil"/>
              <w:bottom w:val="double" w:color="auto" w:sz="4" w:space="0"/>
              <w:right w:val="single" w:color="auto" w:sz="4" w:space="0"/>
            </w:tcBorders>
            <w:vAlign w:val="center"/>
          </w:tcPr>
          <w:p w14:paraId="5962D174">
            <w:pPr>
              <w:spacing w:after="0"/>
              <w:jc w:val="right"/>
              <w:rPr>
                <w:i/>
                <w:iCs/>
                <w:color w:val="000000" w:themeColor="text1"/>
                <w:sz w:val="22"/>
                <w:szCs w:val="20"/>
                <w14:textFill>
                  <w14:solidFill>
                    <w14:schemeClr w14:val="tx1"/>
                  </w14:solidFill>
                </w14:textFill>
              </w:rPr>
            </w:pPr>
            <w:r>
              <w:rPr>
                <w:i/>
                <w:color w:val="000000" w:themeColor="text1"/>
                <w:sz w:val="22"/>
                <w:szCs w:val="20"/>
                <w14:textFill>
                  <w14:solidFill>
                    <w14:schemeClr w14:val="tx1"/>
                  </w14:solidFill>
                </w14:textFill>
              </w:rPr>
              <w:t>Planirano u 2025. g.</w:t>
            </w:r>
          </w:p>
        </w:tc>
      </w:tr>
      <w:tr w14:paraId="687E9663">
        <w:tblPrEx>
          <w:tblCellMar>
            <w:top w:w="0" w:type="dxa"/>
            <w:left w:w="108" w:type="dxa"/>
            <w:bottom w:w="0" w:type="dxa"/>
            <w:right w:w="108" w:type="dxa"/>
          </w:tblCellMar>
        </w:tblPrEx>
        <w:trPr>
          <w:trHeight w:val="624" w:hRule="atLeast"/>
        </w:trPr>
        <w:tc>
          <w:tcPr>
            <w:tcW w:w="3361" w:type="pct"/>
            <w:tcBorders>
              <w:top w:val="double" w:color="auto" w:sz="4" w:space="0"/>
              <w:left w:val="single" w:color="auto" w:sz="4" w:space="0"/>
              <w:bottom w:val="single" w:color="auto" w:sz="4" w:space="0"/>
              <w:right w:val="single" w:color="auto" w:sz="4" w:space="0"/>
            </w:tcBorders>
            <w:shd w:val="clear" w:color="auto" w:fill="auto"/>
            <w:vAlign w:val="center"/>
          </w:tcPr>
          <w:p w14:paraId="02FE406E">
            <w:pPr>
              <w:spacing w:after="0"/>
              <w:jc w:val="lef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Pravne osobe</w:t>
            </w:r>
          </w:p>
        </w:tc>
        <w:tc>
          <w:tcPr>
            <w:tcW w:w="860" w:type="pct"/>
            <w:tcBorders>
              <w:top w:val="double" w:color="auto" w:sz="4" w:space="0"/>
              <w:left w:val="nil"/>
              <w:bottom w:val="single" w:color="auto" w:sz="4" w:space="0"/>
              <w:right w:val="single" w:color="auto" w:sz="4" w:space="0"/>
            </w:tcBorders>
            <w:shd w:val="clear" w:color="auto" w:fill="auto"/>
            <w:vAlign w:val="center"/>
          </w:tcPr>
          <w:p w14:paraId="6EFA6D09">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1.584</w:t>
            </w:r>
          </w:p>
        </w:tc>
        <w:tc>
          <w:tcPr>
            <w:tcW w:w="779" w:type="pct"/>
            <w:tcBorders>
              <w:top w:val="double" w:color="auto" w:sz="4" w:space="0"/>
              <w:left w:val="nil"/>
              <w:bottom w:val="single" w:color="auto" w:sz="4" w:space="0"/>
              <w:right w:val="single" w:color="auto" w:sz="4" w:space="0"/>
            </w:tcBorders>
            <w:vAlign w:val="center"/>
          </w:tcPr>
          <w:p w14:paraId="1835F181">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1.220</w:t>
            </w:r>
          </w:p>
        </w:tc>
      </w:tr>
      <w:tr w14:paraId="38EE030B">
        <w:tblPrEx>
          <w:tblCellMar>
            <w:top w:w="0" w:type="dxa"/>
            <w:left w:w="108" w:type="dxa"/>
            <w:bottom w:w="0" w:type="dxa"/>
            <w:right w:w="108" w:type="dxa"/>
          </w:tblCellMar>
        </w:tblPrEx>
        <w:trPr>
          <w:trHeight w:val="624" w:hRule="atLeast"/>
        </w:trPr>
        <w:tc>
          <w:tcPr>
            <w:tcW w:w="3361" w:type="pct"/>
            <w:tcBorders>
              <w:top w:val="single" w:color="auto" w:sz="4" w:space="0"/>
              <w:left w:val="single" w:color="auto" w:sz="4" w:space="0"/>
              <w:bottom w:val="single" w:color="auto" w:sz="4" w:space="0"/>
              <w:right w:val="single" w:color="auto" w:sz="4" w:space="0"/>
            </w:tcBorders>
            <w:shd w:val="clear" w:color="auto" w:fill="auto"/>
            <w:vAlign w:val="center"/>
          </w:tcPr>
          <w:p w14:paraId="5B5C3A77">
            <w:pPr>
              <w:spacing w:after="0"/>
              <w:jc w:val="lef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Državni inspektorat (uvoz)</w:t>
            </w:r>
          </w:p>
        </w:tc>
        <w:tc>
          <w:tcPr>
            <w:tcW w:w="860" w:type="pct"/>
            <w:tcBorders>
              <w:top w:val="single" w:color="auto" w:sz="4" w:space="0"/>
              <w:left w:val="nil"/>
              <w:bottom w:val="single" w:color="auto" w:sz="4" w:space="0"/>
              <w:right w:val="single" w:color="auto" w:sz="4" w:space="0"/>
            </w:tcBorders>
            <w:shd w:val="clear" w:color="auto" w:fill="auto"/>
            <w:vAlign w:val="center"/>
          </w:tcPr>
          <w:p w14:paraId="7C3BD3A6">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170</w:t>
            </w:r>
          </w:p>
        </w:tc>
        <w:tc>
          <w:tcPr>
            <w:tcW w:w="779" w:type="pct"/>
            <w:tcBorders>
              <w:top w:val="single" w:color="auto" w:sz="4" w:space="0"/>
              <w:left w:val="nil"/>
              <w:bottom w:val="single" w:color="auto" w:sz="4" w:space="0"/>
              <w:right w:val="single" w:color="auto" w:sz="4" w:space="0"/>
            </w:tcBorders>
            <w:vAlign w:val="center"/>
          </w:tcPr>
          <w:p w14:paraId="1E338124">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150</w:t>
            </w:r>
          </w:p>
        </w:tc>
      </w:tr>
      <w:tr w14:paraId="4A3D580C">
        <w:tblPrEx>
          <w:tblCellMar>
            <w:top w:w="0" w:type="dxa"/>
            <w:left w:w="108" w:type="dxa"/>
            <w:bottom w:w="0" w:type="dxa"/>
            <w:right w:w="108" w:type="dxa"/>
          </w:tblCellMar>
        </w:tblPrEx>
        <w:trPr>
          <w:trHeight w:val="624" w:hRule="atLeast"/>
        </w:trPr>
        <w:tc>
          <w:tcPr>
            <w:tcW w:w="3361" w:type="pct"/>
            <w:tcBorders>
              <w:top w:val="nil"/>
              <w:left w:val="single" w:color="auto" w:sz="4" w:space="0"/>
              <w:bottom w:val="single" w:color="auto" w:sz="4" w:space="0"/>
              <w:right w:val="single" w:color="auto" w:sz="4" w:space="0"/>
            </w:tcBorders>
            <w:shd w:val="clear" w:color="auto" w:fill="auto"/>
            <w:vAlign w:val="center"/>
          </w:tcPr>
          <w:p w14:paraId="1DF782FB">
            <w:pPr>
              <w:spacing w:after="0"/>
              <w:jc w:val="lef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Državni inspektorat – sanitarna inspekcija (monitoring)</w:t>
            </w:r>
          </w:p>
        </w:tc>
        <w:tc>
          <w:tcPr>
            <w:tcW w:w="860" w:type="pct"/>
            <w:tcBorders>
              <w:top w:val="nil"/>
              <w:left w:val="nil"/>
              <w:bottom w:val="single" w:color="auto" w:sz="4" w:space="0"/>
              <w:right w:val="single" w:color="auto" w:sz="4" w:space="0"/>
            </w:tcBorders>
            <w:shd w:val="clear" w:color="auto" w:fill="auto"/>
            <w:vAlign w:val="center"/>
          </w:tcPr>
          <w:p w14:paraId="3B68A3B0">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89</w:t>
            </w:r>
          </w:p>
        </w:tc>
        <w:tc>
          <w:tcPr>
            <w:tcW w:w="779" w:type="pct"/>
            <w:tcBorders>
              <w:top w:val="nil"/>
              <w:left w:val="nil"/>
              <w:bottom w:val="single" w:color="auto" w:sz="4" w:space="0"/>
              <w:right w:val="single" w:color="auto" w:sz="4" w:space="0"/>
            </w:tcBorders>
            <w:vAlign w:val="center"/>
          </w:tcPr>
          <w:p w14:paraId="385C5BDF">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70</w:t>
            </w:r>
          </w:p>
        </w:tc>
      </w:tr>
      <w:tr w14:paraId="34919657">
        <w:tblPrEx>
          <w:tblCellMar>
            <w:top w:w="0" w:type="dxa"/>
            <w:left w:w="108" w:type="dxa"/>
            <w:bottom w:w="0" w:type="dxa"/>
            <w:right w:w="108" w:type="dxa"/>
          </w:tblCellMar>
        </w:tblPrEx>
        <w:trPr>
          <w:trHeight w:val="624" w:hRule="atLeast"/>
        </w:trPr>
        <w:tc>
          <w:tcPr>
            <w:tcW w:w="3361" w:type="pct"/>
            <w:tcBorders>
              <w:top w:val="nil"/>
              <w:left w:val="single" w:color="auto" w:sz="4" w:space="0"/>
              <w:bottom w:val="double" w:color="auto" w:sz="4" w:space="0"/>
              <w:right w:val="single" w:color="auto" w:sz="4" w:space="0"/>
            </w:tcBorders>
            <w:shd w:val="clear" w:color="auto" w:fill="auto"/>
            <w:vAlign w:val="center"/>
          </w:tcPr>
          <w:p w14:paraId="2E679CA0">
            <w:pPr>
              <w:spacing w:after="0"/>
              <w:jc w:val="lef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Uredi* Grada Zagreba</w:t>
            </w:r>
          </w:p>
        </w:tc>
        <w:tc>
          <w:tcPr>
            <w:tcW w:w="860" w:type="pct"/>
            <w:tcBorders>
              <w:top w:val="nil"/>
              <w:left w:val="nil"/>
              <w:bottom w:val="double" w:color="auto" w:sz="4" w:space="0"/>
              <w:right w:val="single" w:color="auto" w:sz="4" w:space="0"/>
            </w:tcBorders>
            <w:shd w:val="clear" w:color="auto" w:fill="auto"/>
            <w:vAlign w:val="center"/>
          </w:tcPr>
          <w:p w14:paraId="57F07EEA">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19</w:t>
            </w:r>
          </w:p>
        </w:tc>
        <w:tc>
          <w:tcPr>
            <w:tcW w:w="779" w:type="pct"/>
            <w:tcBorders>
              <w:top w:val="nil"/>
              <w:left w:val="nil"/>
              <w:bottom w:val="double" w:color="auto" w:sz="4" w:space="0"/>
              <w:right w:val="single" w:color="auto" w:sz="4" w:space="0"/>
            </w:tcBorders>
            <w:vAlign w:val="center"/>
          </w:tcPr>
          <w:p w14:paraId="4041BA37">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60</w:t>
            </w:r>
          </w:p>
        </w:tc>
      </w:tr>
      <w:tr w14:paraId="3E78B534">
        <w:tblPrEx>
          <w:tblCellMar>
            <w:top w:w="0" w:type="dxa"/>
            <w:left w:w="108" w:type="dxa"/>
            <w:bottom w:w="0" w:type="dxa"/>
            <w:right w:w="108" w:type="dxa"/>
          </w:tblCellMar>
        </w:tblPrEx>
        <w:trPr>
          <w:trHeight w:val="680" w:hRule="atLeast"/>
        </w:trPr>
        <w:tc>
          <w:tcPr>
            <w:tcW w:w="3361" w:type="pct"/>
            <w:tcBorders>
              <w:top w:val="double" w:color="auto" w:sz="4" w:space="0"/>
              <w:left w:val="single" w:color="auto" w:sz="4" w:space="0"/>
              <w:bottom w:val="single" w:color="auto" w:sz="4" w:space="0"/>
              <w:right w:val="single" w:color="auto" w:sz="4" w:space="0"/>
            </w:tcBorders>
            <w:shd w:val="clear" w:color="auto" w:fill="auto"/>
            <w:vAlign w:val="center"/>
          </w:tcPr>
          <w:p w14:paraId="50415096">
            <w:pPr>
              <w:spacing w:after="0"/>
              <w:jc w:val="left"/>
              <w:rPr>
                <w:i/>
                <w:iCs/>
                <w:color w:val="000000" w:themeColor="text1"/>
                <w:sz w:val="22"/>
                <w:szCs w:val="20"/>
                <w14:textFill>
                  <w14:solidFill>
                    <w14:schemeClr w14:val="tx1"/>
                  </w14:solidFill>
                </w14:textFill>
              </w:rPr>
            </w:pPr>
            <w:r>
              <w:rPr>
                <w:i/>
                <w:iCs/>
                <w:color w:val="000000" w:themeColor="text1"/>
                <w:sz w:val="22"/>
                <w:szCs w:val="20"/>
                <w14:textFill>
                  <w14:solidFill>
                    <w14:schemeClr w14:val="tx1"/>
                  </w14:solidFill>
                </w14:textFill>
              </w:rPr>
              <w:t>Ukupno</w:t>
            </w:r>
          </w:p>
        </w:tc>
        <w:tc>
          <w:tcPr>
            <w:tcW w:w="860" w:type="pct"/>
            <w:tcBorders>
              <w:top w:val="double" w:color="auto" w:sz="4" w:space="0"/>
              <w:left w:val="nil"/>
              <w:bottom w:val="single" w:color="auto" w:sz="4" w:space="0"/>
              <w:right w:val="single" w:color="auto" w:sz="4" w:space="0"/>
            </w:tcBorders>
            <w:shd w:val="clear" w:color="auto" w:fill="auto"/>
            <w:vAlign w:val="center"/>
          </w:tcPr>
          <w:p w14:paraId="74BD612E">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1.862</w:t>
            </w:r>
          </w:p>
        </w:tc>
        <w:tc>
          <w:tcPr>
            <w:tcW w:w="779" w:type="pct"/>
            <w:tcBorders>
              <w:top w:val="double" w:color="auto" w:sz="4" w:space="0"/>
              <w:left w:val="nil"/>
              <w:bottom w:val="single" w:color="auto" w:sz="4" w:space="0"/>
              <w:right w:val="single" w:color="auto" w:sz="4" w:space="0"/>
            </w:tcBorders>
            <w:vAlign w:val="center"/>
          </w:tcPr>
          <w:p w14:paraId="204627FC">
            <w:pPr>
              <w:spacing w:after="0"/>
              <w:jc w:val="right"/>
              <w:rPr>
                <w:color w:val="000000" w:themeColor="text1"/>
                <w:sz w:val="22"/>
                <w:szCs w:val="20"/>
                <w14:textFill>
                  <w14:solidFill>
                    <w14:schemeClr w14:val="tx1"/>
                  </w14:solidFill>
                </w14:textFill>
              </w:rPr>
            </w:pPr>
            <w:r>
              <w:rPr>
                <w:color w:val="000000" w:themeColor="text1"/>
                <w:sz w:val="22"/>
                <w:szCs w:val="20"/>
                <w14:textFill>
                  <w14:solidFill>
                    <w14:schemeClr w14:val="tx1"/>
                  </w14:solidFill>
                </w14:textFill>
              </w:rPr>
              <w:t>1.500</w:t>
            </w:r>
          </w:p>
        </w:tc>
      </w:tr>
    </w:tbl>
    <w:p w14:paraId="37CC70BF">
      <w:pPr>
        <w:spacing w:before="240"/>
        <w:rPr>
          <w:i/>
          <w:iCs/>
          <w:color w:val="000000" w:themeColor="text1"/>
          <w:sz w:val="24"/>
          <w:szCs w:val="20"/>
          <w14:textFill>
            <w14:solidFill>
              <w14:schemeClr w14:val="tx1"/>
            </w14:solidFill>
          </w14:textFill>
        </w:rPr>
      </w:pPr>
      <w:r>
        <w:rPr>
          <w:i/>
          <w:iCs/>
          <w:color w:val="000000" w:themeColor="text1"/>
          <w:sz w:val="20"/>
          <w:szCs w:val="18"/>
          <w14:textFill>
            <w14:solidFill>
              <w14:schemeClr w14:val="tx1"/>
            </w14:solidFill>
          </w14:textFill>
        </w:rPr>
        <w:t>* Gradski ured za socijalnu zaštitu, zdravstvo, branitelje i osobe s invaliditetom, Gradski ured za gospodarstvo, ekološku održivost i strategijsko planiranje</w:t>
      </w:r>
    </w:p>
    <w:p w14:paraId="6C3FE2ED">
      <w:r>
        <w:br w:type="page"/>
      </w:r>
    </w:p>
    <w:p w14:paraId="262357C0">
      <w:pPr>
        <w:jc w:val="left"/>
        <w:rPr>
          <w:color w:val="000000" w:themeColor="text1"/>
          <w14:textFill>
            <w14:solidFill>
              <w14:schemeClr w14:val="tx1"/>
            </w14:solidFill>
          </w14:textFill>
        </w:rPr>
      </w:pPr>
      <w:r>
        <w:rPr>
          <w:i/>
          <w:iCs/>
          <w:color w:val="000000" w:themeColor="text1"/>
          <w14:textFill>
            <w14:solidFill>
              <w14:schemeClr w14:val="tx1"/>
            </w14:solidFill>
          </w14:textFill>
        </w:rPr>
        <w:t>Tablica 4. – Realizirano u razdoblju od 1. 1. do 30.09.2024. godine i planirano u 2025. godini – kemijske analize hrane prema naručitelju</w:t>
      </w:r>
    </w:p>
    <w:tbl>
      <w:tblPr>
        <w:tblStyle w:val="12"/>
        <w:tblW w:w="9062" w:type="dxa"/>
        <w:tblInd w:w="0" w:type="dxa"/>
        <w:tblLayout w:type="autofit"/>
        <w:tblCellMar>
          <w:top w:w="0" w:type="dxa"/>
          <w:left w:w="108" w:type="dxa"/>
          <w:bottom w:w="0" w:type="dxa"/>
          <w:right w:w="108" w:type="dxa"/>
        </w:tblCellMar>
      </w:tblPr>
      <w:tblGrid>
        <w:gridCol w:w="5807"/>
        <w:gridCol w:w="1701"/>
        <w:gridCol w:w="1554"/>
      </w:tblGrid>
      <w:tr w14:paraId="62BA53A5">
        <w:tblPrEx>
          <w:tblCellMar>
            <w:top w:w="0" w:type="dxa"/>
            <w:left w:w="108" w:type="dxa"/>
            <w:bottom w:w="0" w:type="dxa"/>
            <w:right w:w="108" w:type="dxa"/>
          </w:tblCellMar>
        </w:tblPrEx>
        <w:trPr>
          <w:trHeight w:val="737" w:hRule="atLeast"/>
        </w:trPr>
        <w:tc>
          <w:tcPr>
            <w:tcW w:w="5807" w:type="dxa"/>
            <w:tcBorders>
              <w:top w:val="single" w:color="auto" w:sz="4" w:space="0"/>
              <w:left w:val="single" w:color="auto" w:sz="4" w:space="0"/>
              <w:bottom w:val="double" w:color="auto" w:sz="4" w:space="0"/>
              <w:right w:val="single" w:color="auto" w:sz="4" w:space="0"/>
            </w:tcBorders>
            <w:shd w:val="clear" w:color="auto" w:fill="auto"/>
            <w:vAlign w:val="center"/>
          </w:tcPr>
          <w:p w14:paraId="34EA2CF4">
            <w:pPr>
              <w:pStyle w:val="150"/>
              <w:jc w:val="left"/>
              <w:rPr>
                <w:i/>
                <w:iCs w:val="0"/>
              </w:rPr>
            </w:pPr>
            <w:r>
              <w:rPr>
                <w:i/>
                <w:iCs w:val="0"/>
              </w:rPr>
              <w:t>Naručitelj</w:t>
            </w:r>
          </w:p>
        </w:tc>
        <w:tc>
          <w:tcPr>
            <w:tcW w:w="1701" w:type="dxa"/>
            <w:tcBorders>
              <w:top w:val="single" w:color="auto" w:sz="4" w:space="0"/>
              <w:left w:val="nil"/>
              <w:bottom w:val="double" w:color="auto" w:sz="4" w:space="0"/>
              <w:right w:val="single" w:color="auto" w:sz="4" w:space="0"/>
            </w:tcBorders>
            <w:shd w:val="clear" w:color="auto" w:fill="auto"/>
            <w:vAlign w:val="center"/>
          </w:tcPr>
          <w:p w14:paraId="16CB5C11">
            <w:pPr>
              <w:pStyle w:val="150"/>
              <w:rPr>
                <w:i/>
                <w:iCs w:val="0"/>
              </w:rPr>
            </w:pPr>
            <w:r>
              <w:rPr>
                <w:i/>
                <w:iCs w:val="0"/>
              </w:rPr>
              <w:t>Realizirano do 30. 9. 2024.</w:t>
            </w:r>
          </w:p>
        </w:tc>
        <w:tc>
          <w:tcPr>
            <w:tcW w:w="1554" w:type="dxa"/>
            <w:tcBorders>
              <w:top w:val="single" w:color="auto" w:sz="4" w:space="0"/>
              <w:left w:val="nil"/>
              <w:bottom w:val="double" w:color="auto" w:sz="4" w:space="0"/>
              <w:right w:val="single" w:color="auto" w:sz="4" w:space="0"/>
            </w:tcBorders>
            <w:vAlign w:val="center"/>
          </w:tcPr>
          <w:p w14:paraId="1297C056">
            <w:pPr>
              <w:pStyle w:val="150"/>
              <w:rPr>
                <w:i/>
                <w:iCs w:val="0"/>
              </w:rPr>
            </w:pPr>
            <w:r>
              <w:rPr>
                <w:i/>
                <w:iCs w:val="0"/>
              </w:rPr>
              <w:t>Planirano u 2025. g.</w:t>
            </w:r>
          </w:p>
        </w:tc>
      </w:tr>
      <w:tr w14:paraId="2C3CA630">
        <w:tblPrEx>
          <w:tblCellMar>
            <w:top w:w="0" w:type="dxa"/>
            <w:left w:w="108" w:type="dxa"/>
            <w:bottom w:w="0" w:type="dxa"/>
            <w:right w:w="108" w:type="dxa"/>
          </w:tblCellMar>
        </w:tblPrEx>
        <w:trPr>
          <w:trHeight w:val="510" w:hRule="atLeast"/>
        </w:trPr>
        <w:tc>
          <w:tcPr>
            <w:tcW w:w="5807" w:type="dxa"/>
            <w:tcBorders>
              <w:top w:val="double" w:color="auto" w:sz="4" w:space="0"/>
              <w:left w:val="single" w:color="auto" w:sz="4" w:space="0"/>
              <w:bottom w:val="single" w:color="auto" w:sz="4" w:space="0"/>
              <w:right w:val="single" w:color="auto" w:sz="4" w:space="0"/>
            </w:tcBorders>
            <w:shd w:val="clear" w:color="auto" w:fill="auto"/>
            <w:vAlign w:val="center"/>
          </w:tcPr>
          <w:p w14:paraId="2127C7D2">
            <w:pPr>
              <w:pStyle w:val="150"/>
              <w:jc w:val="left"/>
            </w:pPr>
            <w:r>
              <w:t>Pravne osobe</w:t>
            </w:r>
          </w:p>
        </w:tc>
        <w:tc>
          <w:tcPr>
            <w:tcW w:w="1701" w:type="dxa"/>
            <w:tcBorders>
              <w:top w:val="double" w:color="auto" w:sz="4" w:space="0"/>
              <w:left w:val="nil"/>
              <w:bottom w:val="single" w:color="auto" w:sz="4" w:space="0"/>
              <w:right w:val="single" w:color="auto" w:sz="4" w:space="0"/>
            </w:tcBorders>
            <w:shd w:val="clear" w:color="auto" w:fill="auto"/>
            <w:vAlign w:val="center"/>
          </w:tcPr>
          <w:p w14:paraId="69FFD4E1">
            <w:pPr>
              <w:pStyle w:val="150"/>
            </w:pPr>
            <w:r>
              <w:t>2.079</w:t>
            </w:r>
          </w:p>
        </w:tc>
        <w:tc>
          <w:tcPr>
            <w:tcW w:w="1554" w:type="dxa"/>
            <w:tcBorders>
              <w:top w:val="double" w:color="auto" w:sz="4" w:space="0"/>
              <w:left w:val="nil"/>
              <w:bottom w:val="single" w:color="auto" w:sz="4" w:space="0"/>
              <w:right w:val="single" w:color="auto" w:sz="4" w:space="0"/>
            </w:tcBorders>
            <w:vAlign w:val="center"/>
          </w:tcPr>
          <w:p w14:paraId="1696A4CA">
            <w:pPr>
              <w:pStyle w:val="150"/>
            </w:pPr>
            <w:r>
              <w:t>2.100</w:t>
            </w:r>
          </w:p>
        </w:tc>
      </w:tr>
      <w:tr w14:paraId="7968430D">
        <w:tblPrEx>
          <w:tblCellMar>
            <w:top w:w="0" w:type="dxa"/>
            <w:left w:w="108" w:type="dxa"/>
            <w:bottom w:w="0" w:type="dxa"/>
            <w:right w:w="108" w:type="dxa"/>
          </w:tblCellMar>
        </w:tblPrEx>
        <w:trPr>
          <w:trHeight w:val="510" w:hRule="atLeast"/>
        </w:trPr>
        <w:tc>
          <w:tcPr>
            <w:tcW w:w="5807" w:type="dxa"/>
            <w:tcBorders>
              <w:top w:val="nil"/>
              <w:left w:val="single" w:color="auto" w:sz="4" w:space="0"/>
              <w:bottom w:val="single" w:color="auto" w:sz="4" w:space="0"/>
              <w:right w:val="single" w:color="auto" w:sz="4" w:space="0"/>
            </w:tcBorders>
            <w:shd w:val="clear" w:color="auto" w:fill="auto"/>
            <w:vAlign w:val="center"/>
          </w:tcPr>
          <w:p w14:paraId="2DC039E2">
            <w:pPr>
              <w:pStyle w:val="150"/>
              <w:jc w:val="left"/>
            </w:pPr>
            <w:r>
              <w:t>Gotova hrana</w:t>
            </w:r>
          </w:p>
        </w:tc>
        <w:tc>
          <w:tcPr>
            <w:tcW w:w="1701" w:type="dxa"/>
            <w:tcBorders>
              <w:top w:val="nil"/>
              <w:left w:val="nil"/>
              <w:bottom w:val="single" w:color="auto" w:sz="4" w:space="0"/>
              <w:right w:val="single" w:color="auto" w:sz="4" w:space="0"/>
            </w:tcBorders>
            <w:shd w:val="clear" w:color="auto" w:fill="auto"/>
            <w:vAlign w:val="center"/>
          </w:tcPr>
          <w:p w14:paraId="457DC06F">
            <w:pPr>
              <w:pStyle w:val="150"/>
            </w:pPr>
            <w:r>
              <w:t>370</w:t>
            </w:r>
          </w:p>
        </w:tc>
        <w:tc>
          <w:tcPr>
            <w:tcW w:w="1554" w:type="dxa"/>
            <w:tcBorders>
              <w:top w:val="nil"/>
              <w:left w:val="nil"/>
              <w:bottom w:val="single" w:color="auto" w:sz="4" w:space="0"/>
              <w:right w:val="single" w:color="auto" w:sz="4" w:space="0"/>
            </w:tcBorders>
            <w:vAlign w:val="center"/>
          </w:tcPr>
          <w:p w14:paraId="044C2D08">
            <w:pPr>
              <w:pStyle w:val="150"/>
            </w:pPr>
            <w:r>
              <w:t>350</w:t>
            </w:r>
          </w:p>
        </w:tc>
      </w:tr>
      <w:tr w14:paraId="26EB7918">
        <w:tblPrEx>
          <w:tblCellMar>
            <w:top w:w="0" w:type="dxa"/>
            <w:left w:w="108" w:type="dxa"/>
            <w:bottom w:w="0" w:type="dxa"/>
            <w:right w:w="108" w:type="dxa"/>
          </w:tblCellMar>
        </w:tblPrEx>
        <w:trPr>
          <w:trHeight w:val="510" w:hRule="atLeast"/>
        </w:trPr>
        <w:tc>
          <w:tcPr>
            <w:tcW w:w="5807" w:type="dxa"/>
            <w:tcBorders>
              <w:top w:val="nil"/>
              <w:left w:val="single" w:color="auto" w:sz="4" w:space="0"/>
              <w:bottom w:val="single" w:color="auto" w:sz="4" w:space="0"/>
              <w:right w:val="single" w:color="auto" w:sz="4" w:space="0"/>
            </w:tcBorders>
            <w:shd w:val="clear" w:color="auto" w:fill="auto"/>
            <w:vAlign w:val="center"/>
          </w:tcPr>
          <w:p w14:paraId="2FE13DF0">
            <w:pPr>
              <w:pStyle w:val="150"/>
              <w:jc w:val="left"/>
            </w:pPr>
            <w:r>
              <w:t>Državni inspektorat (uvoz)</w:t>
            </w:r>
          </w:p>
        </w:tc>
        <w:tc>
          <w:tcPr>
            <w:tcW w:w="1701" w:type="dxa"/>
            <w:tcBorders>
              <w:top w:val="nil"/>
              <w:left w:val="nil"/>
              <w:bottom w:val="single" w:color="auto" w:sz="4" w:space="0"/>
              <w:right w:val="single" w:color="auto" w:sz="4" w:space="0"/>
            </w:tcBorders>
            <w:shd w:val="clear" w:color="auto" w:fill="auto"/>
            <w:vAlign w:val="center"/>
          </w:tcPr>
          <w:p w14:paraId="1E1F4253">
            <w:pPr>
              <w:pStyle w:val="150"/>
            </w:pPr>
            <w:r>
              <w:t>48</w:t>
            </w:r>
          </w:p>
        </w:tc>
        <w:tc>
          <w:tcPr>
            <w:tcW w:w="1554" w:type="dxa"/>
            <w:tcBorders>
              <w:top w:val="nil"/>
              <w:left w:val="nil"/>
              <w:bottom w:val="single" w:color="auto" w:sz="4" w:space="0"/>
              <w:right w:val="single" w:color="auto" w:sz="4" w:space="0"/>
            </w:tcBorders>
            <w:vAlign w:val="center"/>
          </w:tcPr>
          <w:p w14:paraId="30401ED4">
            <w:pPr>
              <w:pStyle w:val="150"/>
            </w:pPr>
            <w:r>
              <w:t>50</w:t>
            </w:r>
          </w:p>
        </w:tc>
      </w:tr>
      <w:tr w14:paraId="5C19BF70">
        <w:tblPrEx>
          <w:tblCellMar>
            <w:top w:w="0" w:type="dxa"/>
            <w:left w:w="108" w:type="dxa"/>
            <w:bottom w:w="0" w:type="dxa"/>
            <w:right w:w="108" w:type="dxa"/>
          </w:tblCellMar>
        </w:tblPrEx>
        <w:trPr>
          <w:trHeight w:val="510" w:hRule="atLeast"/>
        </w:trPr>
        <w:tc>
          <w:tcPr>
            <w:tcW w:w="5807" w:type="dxa"/>
            <w:tcBorders>
              <w:top w:val="nil"/>
              <w:left w:val="single" w:color="auto" w:sz="4" w:space="0"/>
              <w:bottom w:val="single" w:color="auto" w:sz="4" w:space="0"/>
              <w:right w:val="single" w:color="auto" w:sz="4" w:space="0"/>
            </w:tcBorders>
            <w:shd w:val="clear" w:color="auto" w:fill="auto"/>
            <w:vAlign w:val="center"/>
          </w:tcPr>
          <w:p w14:paraId="32914B89">
            <w:pPr>
              <w:pStyle w:val="150"/>
              <w:jc w:val="left"/>
            </w:pPr>
            <w:r>
              <w:t>Državni inspektorat – sanitarna inspekcija (monitoring)</w:t>
            </w:r>
          </w:p>
        </w:tc>
        <w:tc>
          <w:tcPr>
            <w:tcW w:w="1701" w:type="dxa"/>
            <w:tcBorders>
              <w:top w:val="nil"/>
              <w:left w:val="nil"/>
              <w:bottom w:val="single" w:color="auto" w:sz="4" w:space="0"/>
              <w:right w:val="single" w:color="auto" w:sz="4" w:space="0"/>
            </w:tcBorders>
            <w:shd w:val="clear" w:color="auto" w:fill="auto"/>
            <w:vAlign w:val="center"/>
          </w:tcPr>
          <w:p w14:paraId="5745BC0B">
            <w:pPr>
              <w:pStyle w:val="150"/>
            </w:pPr>
            <w:r>
              <w:t>263</w:t>
            </w:r>
          </w:p>
        </w:tc>
        <w:tc>
          <w:tcPr>
            <w:tcW w:w="1554" w:type="dxa"/>
            <w:tcBorders>
              <w:top w:val="nil"/>
              <w:left w:val="nil"/>
              <w:bottom w:val="single" w:color="auto" w:sz="4" w:space="0"/>
              <w:right w:val="single" w:color="auto" w:sz="4" w:space="0"/>
            </w:tcBorders>
            <w:vAlign w:val="center"/>
          </w:tcPr>
          <w:p w14:paraId="294BCD8F">
            <w:pPr>
              <w:pStyle w:val="150"/>
            </w:pPr>
            <w:r>
              <w:t>300</w:t>
            </w:r>
          </w:p>
        </w:tc>
      </w:tr>
      <w:tr w14:paraId="46E313B2">
        <w:tblPrEx>
          <w:tblCellMar>
            <w:top w:w="0" w:type="dxa"/>
            <w:left w:w="108" w:type="dxa"/>
            <w:bottom w:w="0" w:type="dxa"/>
            <w:right w:w="108" w:type="dxa"/>
          </w:tblCellMar>
        </w:tblPrEx>
        <w:trPr>
          <w:trHeight w:val="510" w:hRule="atLeast"/>
        </w:trPr>
        <w:tc>
          <w:tcPr>
            <w:tcW w:w="5807" w:type="dxa"/>
            <w:tcBorders>
              <w:top w:val="nil"/>
              <w:left w:val="single" w:color="auto" w:sz="4" w:space="0"/>
              <w:bottom w:val="single" w:color="auto" w:sz="4" w:space="0"/>
              <w:right w:val="single" w:color="auto" w:sz="4" w:space="0"/>
            </w:tcBorders>
            <w:shd w:val="clear" w:color="auto" w:fill="auto"/>
            <w:vAlign w:val="center"/>
          </w:tcPr>
          <w:p w14:paraId="62D21961">
            <w:pPr>
              <w:pStyle w:val="150"/>
              <w:jc w:val="left"/>
            </w:pPr>
            <w:r>
              <w:t>Državni inspektorat – poljoprivredna inspekcija (monitoring)</w:t>
            </w:r>
          </w:p>
        </w:tc>
        <w:tc>
          <w:tcPr>
            <w:tcW w:w="1701" w:type="dxa"/>
            <w:tcBorders>
              <w:top w:val="nil"/>
              <w:left w:val="nil"/>
              <w:bottom w:val="single" w:color="auto" w:sz="4" w:space="0"/>
              <w:right w:val="single" w:color="auto" w:sz="4" w:space="0"/>
            </w:tcBorders>
            <w:shd w:val="clear" w:color="auto" w:fill="auto"/>
            <w:vAlign w:val="center"/>
          </w:tcPr>
          <w:p w14:paraId="646C2BE5">
            <w:pPr>
              <w:pStyle w:val="150"/>
            </w:pPr>
            <w:r>
              <w:t>54</w:t>
            </w:r>
          </w:p>
        </w:tc>
        <w:tc>
          <w:tcPr>
            <w:tcW w:w="1554" w:type="dxa"/>
            <w:tcBorders>
              <w:top w:val="nil"/>
              <w:left w:val="nil"/>
              <w:bottom w:val="single" w:color="auto" w:sz="4" w:space="0"/>
              <w:right w:val="single" w:color="auto" w:sz="4" w:space="0"/>
            </w:tcBorders>
            <w:vAlign w:val="center"/>
          </w:tcPr>
          <w:p w14:paraId="24DCD4F9">
            <w:pPr>
              <w:pStyle w:val="150"/>
            </w:pPr>
            <w:r>
              <w:t>50</w:t>
            </w:r>
          </w:p>
        </w:tc>
      </w:tr>
      <w:tr w14:paraId="45E306C0">
        <w:tblPrEx>
          <w:tblCellMar>
            <w:top w:w="0" w:type="dxa"/>
            <w:left w:w="108" w:type="dxa"/>
            <w:bottom w:w="0" w:type="dxa"/>
            <w:right w:w="108" w:type="dxa"/>
          </w:tblCellMar>
        </w:tblPrEx>
        <w:trPr>
          <w:trHeight w:val="567" w:hRule="atLeast"/>
        </w:trPr>
        <w:tc>
          <w:tcPr>
            <w:tcW w:w="5807" w:type="dxa"/>
            <w:tcBorders>
              <w:top w:val="double" w:color="auto" w:sz="4" w:space="0"/>
              <w:left w:val="single" w:color="auto" w:sz="4" w:space="0"/>
              <w:bottom w:val="single" w:color="auto" w:sz="4" w:space="0"/>
              <w:right w:val="single" w:color="auto" w:sz="4" w:space="0"/>
            </w:tcBorders>
            <w:shd w:val="clear" w:color="auto" w:fill="auto"/>
            <w:vAlign w:val="center"/>
          </w:tcPr>
          <w:p w14:paraId="10777932">
            <w:pPr>
              <w:pStyle w:val="150"/>
              <w:jc w:val="left"/>
              <w:rPr>
                <w:i/>
                <w:iCs w:val="0"/>
              </w:rPr>
            </w:pPr>
            <w:r>
              <w:rPr>
                <w:i/>
                <w:iCs w:val="0"/>
              </w:rPr>
              <w:t>Ukupno</w:t>
            </w:r>
          </w:p>
        </w:tc>
        <w:tc>
          <w:tcPr>
            <w:tcW w:w="1701" w:type="dxa"/>
            <w:tcBorders>
              <w:top w:val="double" w:color="auto" w:sz="4" w:space="0"/>
              <w:left w:val="nil"/>
              <w:bottom w:val="single" w:color="auto" w:sz="4" w:space="0"/>
              <w:right w:val="single" w:color="auto" w:sz="4" w:space="0"/>
            </w:tcBorders>
            <w:shd w:val="clear" w:color="auto" w:fill="auto"/>
            <w:vAlign w:val="center"/>
          </w:tcPr>
          <w:p w14:paraId="52712B5C">
            <w:pPr>
              <w:pStyle w:val="150"/>
            </w:pPr>
            <w:r>
              <w:t>2.814</w:t>
            </w:r>
          </w:p>
        </w:tc>
        <w:tc>
          <w:tcPr>
            <w:tcW w:w="1554" w:type="dxa"/>
            <w:tcBorders>
              <w:top w:val="double" w:color="auto" w:sz="4" w:space="0"/>
              <w:left w:val="nil"/>
              <w:bottom w:val="single" w:color="auto" w:sz="4" w:space="0"/>
              <w:right w:val="single" w:color="auto" w:sz="4" w:space="0"/>
            </w:tcBorders>
            <w:vAlign w:val="center"/>
          </w:tcPr>
          <w:p w14:paraId="5A994B1A">
            <w:pPr>
              <w:pStyle w:val="150"/>
            </w:pPr>
            <w:r>
              <w:t>2.800</w:t>
            </w:r>
          </w:p>
        </w:tc>
      </w:tr>
    </w:tbl>
    <w:p w14:paraId="3186D994">
      <w:pPr>
        <w:rPr>
          <w:color w:val="000000" w:themeColor="text1"/>
          <w14:textFill>
            <w14:solidFill>
              <w14:schemeClr w14:val="tx1"/>
            </w14:solidFill>
          </w14:textFill>
        </w:rPr>
      </w:pPr>
    </w:p>
    <w:p w14:paraId="6089726B">
      <w:pPr>
        <w:rPr>
          <w:i/>
          <w:iCs/>
        </w:rPr>
      </w:pPr>
      <w:r>
        <w:rPr>
          <w:i/>
          <w:iCs/>
        </w:rPr>
        <w:t>Tablica 5. – Realizirano u razdoblju od 1. 1. do 30. 9. 2024. godine i planirano u 2025. godini – mikrobiološka ispitivanje hrane, predmeta opće uporabe, zraka, otpada i mulja</w:t>
      </w:r>
    </w:p>
    <w:tbl>
      <w:tblPr>
        <w:tblStyle w:val="12"/>
        <w:tblW w:w="6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14"/>
        <w:gridCol w:w="1559"/>
        <w:gridCol w:w="1418"/>
      </w:tblGrid>
      <w:tr w14:paraId="7EEE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trPr>
        <w:tc>
          <w:tcPr>
            <w:tcW w:w="3114" w:type="dxa"/>
            <w:tcBorders>
              <w:bottom w:val="double" w:color="auto" w:sz="4" w:space="0"/>
            </w:tcBorders>
            <w:tcMar>
              <w:top w:w="0" w:type="dxa"/>
              <w:left w:w="108" w:type="dxa"/>
              <w:bottom w:w="0" w:type="dxa"/>
              <w:right w:w="108" w:type="dxa"/>
            </w:tcMar>
            <w:vAlign w:val="center"/>
          </w:tcPr>
          <w:p w14:paraId="13F75D0C">
            <w:pPr>
              <w:pStyle w:val="150"/>
              <w:jc w:val="left"/>
              <w:rPr>
                <w:i/>
                <w:iCs w:val="0"/>
              </w:rPr>
            </w:pPr>
            <w:r>
              <w:rPr>
                <w:i/>
                <w:iCs w:val="0"/>
              </w:rPr>
              <w:t>Vrsta uzoraka</w:t>
            </w:r>
          </w:p>
        </w:tc>
        <w:tc>
          <w:tcPr>
            <w:tcW w:w="1559" w:type="dxa"/>
            <w:tcBorders>
              <w:bottom w:val="double" w:color="auto" w:sz="4" w:space="0"/>
            </w:tcBorders>
            <w:vAlign w:val="center"/>
          </w:tcPr>
          <w:p w14:paraId="13B95799">
            <w:pPr>
              <w:pStyle w:val="150"/>
              <w:rPr>
                <w:i/>
                <w:iCs w:val="0"/>
              </w:rPr>
            </w:pPr>
            <w:r>
              <w:rPr>
                <w:i/>
                <w:iCs w:val="0"/>
              </w:rPr>
              <w:t>Realizirano do 30. 9. 2024.</w:t>
            </w:r>
          </w:p>
        </w:tc>
        <w:tc>
          <w:tcPr>
            <w:tcW w:w="1418" w:type="dxa"/>
            <w:tcBorders>
              <w:bottom w:val="double" w:color="auto" w:sz="4" w:space="0"/>
            </w:tcBorders>
            <w:vAlign w:val="center"/>
          </w:tcPr>
          <w:p w14:paraId="486251F0">
            <w:pPr>
              <w:pStyle w:val="150"/>
              <w:rPr>
                <w:i/>
                <w:iCs w:val="0"/>
              </w:rPr>
            </w:pPr>
            <w:r>
              <w:rPr>
                <w:i/>
                <w:iCs w:val="0"/>
                <w:color w:val="000000" w:themeColor="text1"/>
                <w14:textFill>
                  <w14:solidFill>
                    <w14:schemeClr w14:val="tx1"/>
                  </w14:solidFill>
                </w14:textFill>
              </w:rPr>
              <w:t>Planirano u 2025. g.</w:t>
            </w:r>
          </w:p>
        </w:tc>
      </w:tr>
      <w:tr w14:paraId="2885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trPr>
        <w:tc>
          <w:tcPr>
            <w:tcW w:w="3114" w:type="dxa"/>
            <w:tcBorders>
              <w:top w:val="double" w:color="auto" w:sz="4" w:space="0"/>
            </w:tcBorders>
            <w:tcMar>
              <w:top w:w="0" w:type="dxa"/>
              <w:left w:w="108" w:type="dxa"/>
              <w:bottom w:w="0" w:type="dxa"/>
              <w:right w:w="108" w:type="dxa"/>
            </w:tcMar>
            <w:vAlign w:val="center"/>
          </w:tcPr>
          <w:p w14:paraId="13CE8FBA">
            <w:pPr>
              <w:pStyle w:val="150"/>
              <w:jc w:val="left"/>
            </w:pPr>
            <w:r>
              <w:t>Brisevi</w:t>
            </w:r>
          </w:p>
        </w:tc>
        <w:tc>
          <w:tcPr>
            <w:tcW w:w="1559" w:type="dxa"/>
            <w:tcBorders>
              <w:top w:val="double" w:color="auto" w:sz="4" w:space="0"/>
            </w:tcBorders>
            <w:vAlign w:val="center"/>
          </w:tcPr>
          <w:p w14:paraId="766C9B2C">
            <w:pPr>
              <w:pStyle w:val="150"/>
            </w:pPr>
            <w:r>
              <w:t xml:space="preserve">13.039 </w:t>
            </w:r>
          </w:p>
        </w:tc>
        <w:tc>
          <w:tcPr>
            <w:tcW w:w="1418" w:type="dxa"/>
            <w:tcBorders>
              <w:top w:val="double" w:color="auto" w:sz="4" w:space="0"/>
            </w:tcBorders>
            <w:vAlign w:val="center"/>
          </w:tcPr>
          <w:p w14:paraId="3F89E790">
            <w:pPr>
              <w:pStyle w:val="150"/>
            </w:pPr>
            <w:r>
              <w:t>15.000</w:t>
            </w:r>
          </w:p>
        </w:tc>
      </w:tr>
      <w:tr w14:paraId="326D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trPr>
        <w:tc>
          <w:tcPr>
            <w:tcW w:w="3114" w:type="dxa"/>
            <w:tcMar>
              <w:top w:w="0" w:type="dxa"/>
              <w:left w:w="108" w:type="dxa"/>
              <w:bottom w:w="0" w:type="dxa"/>
              <w:right w:w="108" w:type="dxa"/>
            </w:tcMar>
            <w:vAlign w:val="center"/>
          </w:tcPr>
          <w:p w14:paraId="1CF99304">
            <w:pPr>
              <w:pStyle w:val="150"/>
              <w:jc w:val="left"/>
            </w:pPr>
            <w:r>
              <w:t xml:space="preserve">Hrana </w:t>
            </w:r>
          </w:p>
        </w:tc>
        <w:tc>
          <w:tcPr>
            <w:tcW w:w="1559" w:type="dxa"/>
            <w:vAlign w:val="center"/>
          </w:tcPr>
          <w:p w14:paraId="2D89D08E">
            <w:pPr>
              <w:pStyle w:val="150"/>
            </w:pPr>
            <w:r>
              <w:t>6.543</w:t>
            </w:r>
          </w:p>
        </w:tc>
        <w:tc>
          <w:tcPr>
            <w:tcW w:w="1418" w:type="dxa"/>
            <w:vAlign w:val="center"/>
          </w:tcPr>
          <w:p w14:paraId="1B1291BC">
            <w:pPr>
              <w:pStyle w:val="150"/>
            </w:pPr>
            <w:r>
              <w:t>6.500</w:t>
            </w:r>
          </w:p>
        </w:tc>
      </w:tr>
      <w:tr w14:paraId="4C13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trPr>
        <w:tc>
          <w:tcPr>
            <w:tcW w:w="3114" w:type="dxa"/>
            <w:tcMar>
              <w:top w:w="0" w:type="dxa"/>
              <w:left w:w="108" w:type="dxa"/>
              <w:bottom w:w="0" w:type="dxa"/>
              <w:right w:w="108" w:type="dxa"/>
            </w:tcMar>
            <w:vAlign w:val="center"/>
          </w:tcPr>
          <w:p w14:paraId="2F795CB5">
            <w:pPr>
              <w:pStyle w:val="150"/>
              <w:jc w:val="left"/>
            </w:pPr>
            <w:r>
              <w:t>Predmeti opće uporabe</w:t>
            </w:r>
          </w:p>
        </w:tc>
        <w:tc>
          <w:tcPr>
            <w:tcW w:w="1559" w:type="dxa"/>
            <w:vAlign w:val="center"/>
          </w:tcPr>
          <w:p w14:paraId="5DE654F5">
            <w:pPr>
              <w:pStyle w:val="150"/>
            </w:pPr>
            <w:r>
              <w:t>456</w:t>
            </w:r>
          </w:p>
        </w:tc>
        <w:tc>
          <w:tcPr>
            <w:tcW w:w="1418" w:type="dxa"/>
            <w:vAlign w:val="center"/>
          </w:tcPr>
          <w:p w14:paraId="68562699">
            <w:pPr>
              <w:pStyle w:val="150"/>
            </w:pPr>
            <w:r>
              <w:t>450</w:t>
            </w:r>
          </w:p>
        </w:tc>
      </w:tr>
      <w:tr w14:paraId="35D7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trPr>
        <w:tc>
          <w:tcPr>
            <w:tcW w:w="3114" w:type="dxa"/>
            <w:tcBorders>
              <w:bottom w:val="double" w:color="auto" w:sz="4" w:space="0"/>
            </w:tcBorders>
            <w:tcMar>
              <w:top w:w="0" w:type="dxa"/>
              <w:left w:w="108" w:type="dxa"/>
              <w:bottom w:w="0" w:type="dxa"/>
              <w:right w:w="108" w:type="dxa"/>
            </w:tcMar>
            <w:vAlign w:val="center"/>
          </w:tcPr>
          <w:p w14:paraId="2B266A8E">
            <w:pPr>
              <w:pStyle w:val="150"/>
              <w:jc w:val="left"/>
            </w:pPr>
            <w:r>
              <w:t>Zrak, otpad, mulj</w:t>
            </w:r>
          </w:p>
        </w:tc>
        <w:tc>
          <w:tcPr>
            <w:tcW w:w="1559" w:type="dxa"/>
            <w:tcBorders>
              <w:bottom w:val="double" w:color="auto" w:sz="4" w:space="0"/>
            </w:tcBorders>
            <w:vAlign w:val="center"/>
          </w:tcPr>
          <w:p w14:paraId="7BD2A3DF">
            <w:pPr>
              <w:pStyle w:val="150"/>
            </w:pPr>
            <w:r>
              <w:t>429</w:t>
            </w:r>
          </w:p>
        </w:tc>
        <w:tc>
          <w:tcPr>
            <w:tcW w:w="1418" w:type="dxa"/>
            <w:tcBorders>
              <w:bottom w:val="double" w:color="auto" w:sz="4" w:space="0"/>
            </w:tcBorders>
            <w:vAlign w:val="center"/>
          </w:tcPr>
          <w:p w14:paraId="5AE59D7E">
            <w:pPr>
              <w:pStyle w:val="150"/>
            </w:pPr>
            <w:r>
              <w:t>350</w:t>
            </w:r>
          </w:p>
        </w:tc>
      </w:tr>
      <w:tr w14:paraId="0E4B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3114" w:type="dxa"/>
            <w:tcBorders>
              <w:top w:val="double" w:color="auto" w:sz="4" w:space="0"/>
            </w:tcBorders>
            <w:tcMar>
              <w:top w:w="0" w:type="dxa"/>
              <w:left w:w="108" w:type="dxa"/>
              <w:bottom w:w="0" w:type="dxa"/>
              <w:right w:w="108" w:type="dxa"/>
            </w:tcMar>
            <w:vAlign w:val="center"/>
          </w:tcPr>
          <w:p w14:paraId="339875F2">
            <w:pPr>
              <w:pStyle w:val="150"/>
              <w:jc w:val="left"/>
              <w:rPr>
                <w:i/>
                <w:iCs w:val="0"/>
              </w:rPr>
            </w:pPr>
            <w:r>
              <w:rPr>
                <w:i/>
                <w:iCs w:val="0"/>
              </w:rPr>
              <w:t>Ukupno</w:t>
            </w:r>
          </w:p>
        </w:tc>
        <w:tc>
          <w:tcPr>
            <w:tcW w:w="1559" w:type="dxa"/>
            <w:tcBorders>
              <w:top w:val="double" w:color="auto" w:sz="4" w:space="0"/>
            </w:tcBorders>
            <w:vAlign w:val="center"/>
          </w:tcPr>
          <w:p w14:paraId="7AF1A1E6">
            <w:pPr>
              <w:pStyle w:val="150"/>
            </w:pPr>
            <w:r>
              <w:t>20.467</w:t>
            </w:r>
          </w:p>
        </w:tc>
        <w:tc>
          <w:tcPr>
            <w:tcW w:w="1418" w:type="dxa"/>
            <w:tcBorders>
              <w:top w:val="double" w:color="auto" w:sz="4" w:space="0"/>
            </w:tcBorders>
            <w:vAlign w:val="center"/>
          </w:tcPr>
          <w:p w14:paraId="22DCDE5B">
            <w:pPr>
              <w:pStyle w:val="150"/>
            </w:pPr>
            <w:r>
              <w:t>22.300</w:t>
            </w:r>
          </w:p>
        </w:tc>
      </w:tr>
    </w:tbl>
    <w:p w14:paraId="08188AE7"/>
    <w:p w14:paraId="32C10769">
      <w:pPr>
        <w:rPr>
          <w:i/>
          <w:iCs/>
          <w:color w:val="000000" w:themeColor="text1"/>
          <w14:textFill>
            <w14:solidFill>
              <w14:schemeClr w14:val="tx1"/>
            </w14:solidFill>
          </w14:textFill>
        </w:rPr>
      </w:pPr>
      <w:r>
        <w:rPr>
          <w:i/>
          <w:iCs/>
          <w:color w:val="000000" w:themeColor="text1"/>
          <w14:textFill>
            <w14:solidFill>
              <w14:schemeClr w14:val="tx1"/>
            </w14:solidFill>
          </w14:textFill>
        </w:rPr>
        <w:t>Tablica 6. – Realizirano u razdoblju od 1. 1. do 30. 9. 2024. godine i planirano u 2025. godini – analize uzoraka i parametara na prisutnost prirodnih i antropogenih zagađivala u vodama, hrani, predmetima opće uporabe, tlu, otpadu i zraku</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17"/>
        <w:gridCol w:w="1437"/>
        <w:gridCol w:w="1431"/>
      </w:tblGrid>
      <w:tr w14:paraId="0146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trPr>
        <w:tc>
          <w:tcPr>
            <w:tcW w:w="3439" w:type="pct"/>
            <w:tcBorders>
              <w:bottom w:val="double" w:color="auto" w:sz="4" w:space="0"/>
            </w:tcBorders>
            <w:shd w:val="clear" w:color="auto" w:fill="auto"/>
            <w:tcMar>
              <w:top w:w="0" w:type="dxa"/>
              <w:left w:w="108" w:type="dxa"/>
              <w:bottom w:w="0" w:type="dxa"/>
              <w:right w:w="108" w:type="dxa"/>
            </w:tcMar>
            <w:vAlign w:val="center"/>
          </w:tcPr>
          <w:p w14:paraId="32461F30">
            <w:pPr>
              <w:spacing w:after="0"/>
              <w:jc w:val="left"/>
              <w:rPr>
                <w:bCs/>
                <w:i/>
                <w:iCs/>
                <w:color w:val="000000" w:themeColor="text1"/>
                <w:sz w:val="22"/>
                <w:szCs w:val="20"/>
                <w14:textFill>
                  <w14:solidFill>
                    <w14:schemeClr w14:val="tx1"/>
                  </w14:solidFill>
                </w14:textFill>
              </w:rPr>
            </w:pPr>
            <w:r>
              <w:rPr>
                <w:i/>
                <w:color w:val="000000" w:themeColor="text1"/>
                <w:sz w:val="20"/>
                <w:szCs w:val="20"/>
                <w14:textFill>
                  <w14:solidFill>
                    <w14:schemeClr w14:val="tx1"/>
                  </w14:solidFill>
                </w14:textFill>
              </w:rPr>
              <w:t>Vrsta uzoraka/aktivnosti</w:t>
            </w:r>
          </w:p>
        </w:tc>
        <w:tc>
          <w:tcPr>
            <w:tcW w:w="782" w:type="pct"/>
            <w:tcBorders>
              <w:bottom w:val="double" w:color="auto" w:sz="4" w:space="0"/>
            </w:tcBorders>
            <w:shd w:val="clear" w:color="auto" w:fill="auto"/>
            <w:vAlign w:val="center"/>
          </w:tcPr>
          <w:p w14:paraId="47273853">
            <w:pPr>
              <w:spacing w:after="0"/>
              <w:jc w:val="right"/>
              <w:rPr>
                <w:bCs/>
                <w:i/>
                <w:iCs/>
                <w:color w:val="000000" w:themeColor="text1"/>
                <w:sz w:val="22"/>
                <w:szCs w:val="20"/>
                <w14:textFill>
                  <w14:solidFill>
                    <w14:schemeClr w14:val="tx1"/>
                  </w14:solidFill>
                </w14:textFill>
              </w:rPr>
            </w:pPr>
            <w:r>
              <w:rPr>
                <w:bCs/>
                <w:i/>
                <w:iCs/>
                <w:color w:val="000000" w:themeColor="text1"/>
                <w:sz w:val="22"/>
                <w:szCs w:val="20"/>
                <w14:textFill>
                  <w14:solidFill>
                    <w14:schemeClr w14:val="tx1"/>
                  </w14:solidFill>
                </w14:textFill>
              </w:rPr>
              <w:t xml:space="preserve">Realizirano do </w:t>
            </w:r>
          </w:p>
          <w:p w14:paraId="46A8915B">
            <w:pPr>
              <w:spacing w:after="0"/>
              <w:jc w:val="right"/>
              <w:rPr>
                <w:bCs/>
                <w:i/>
                <w:iCs/>
                <w:color w:val="000000" w:themeColor="text1"/>
                <w:sz w:val="22"/>
                <w:szCs w:val="20"/>
                <w14:textFill>
                  <w14:solidFill>
                    <w14:schemeClr w14:val="tx1"/>
                  </w14:solidFill>
                </w14:textFill>
              </w:rPr>
            </w:pPr>
            <w:r>
              <w:rPr>
                <w:bCs/>
                <w:i/>
                <w:iCs/>
                <w:color w:val="000000" w:themeColor="text1"/>
                <w:sz w:val="22"/>
                <w:szCs w:val="20"/>
                <w14:textFill>
                  <w14:solidFill>
                    <w14:schemeClr w14:val="tx1"/>
                  </w14:solidFill>
                </w14:textFill>
              </w:rPr>
              <w:t>30. 9. 2024.</w:t>
            </w:r>
          </w:p>
        </w:tc>
        <w:tc>
          <w:tcPr>
            <w:tcW w:w="779" w:type="pct"/>
            <w:tcBorders>
              <w:bottom w:val="double" w:color="auto" w:sz="4" w:space="0"/>
            </w:tcBorders>
            <w:vAlign w:val="center"/>
          </w:tcPr>
          <w:p w14:paraId="4BDD3BA8">
            <w:pPr>
              <w:spacing w:after="0"/>
              <w:jc w:val="right"/>
              <w:rPr>
                <w:bCs/>
                <w:i/>
                <w:iCs/>
                <w:color w:val="000000" w:themeColor="text1"/>
                <w:sz w:val="22"/>
                <w:szCs w:val="20"/>
                <w14:textFill>
                  <w14:solidFill>
                    <w14:schemeClr w14:val="tx1"/>
                  </w14:solidFill>
                </w14:textFill>
              </w:rPr>
            </w:pPr>
            <w:r>
              <w:rPr>
                <w:i/>
                <w:color w:val="000000" w:themeColor="text1"/>
                <w:sz w:val="22"/>
                <w:szCs w:val="20"/>
                <w14:textFill>
                  <w14:solidFill>
                    <w14:schemeClr w14:val="tx1"/>
                  </w14:solidFill>
                </w14:textFill>
              </w:rPr>
              <w:t>Planirano u 2025. g.</w:t>
            </w:r>
          </w:p>
        </w:tc>
      </w:tr>
      <w:tr w14:paraId="6C99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3439" w:type="pct"/>
            <w:tcBorders>
              <w:top w:val="double" w:color="auto" w:sz="4" w:space="0"/>
            </w:tcBorders>
            <w:shd w:val="clear" w:color="auto" w:fill="auto"/>
            <w:tcMar>
              <w:top w:w="0" w:type="dxa"/>
              <w:left w:w="108" w:type="dxa"/>
              <w:bottom w:w="0" w:type="dxa"/>
              <w:right w:w="108" w:type="dxa"/>
            </w:tcMar>
            <w:vAlign w:val="center"/>
          </w:tcPr>
          <w:p w14:paraId="0633488D">
            <w:pPr>
              <w:spacing w:after="0"/>
              <w:jc w:val="left"/>
              <w:rPr>
                <w:bCs/>
                <w:color w:val="000000" w:themeColor="text1"/>
                <w:sz w:val="22"/>
                <w:szCs w:val="20"/>
                <w14:textFill>
                  <w14:solidFill>
                    <w14:schemeClr w14:val="tx1"/>
                  </w14:solidFill>
                </w14:textFill>
              </w:rPr>
            </w:pPr>
            <w:r>
              <w:rPr>
                <w:color w:val="000000" w:themeColor="text1"/>
                <w:sz w:val="20"/>
                <w:szCs w:val="20"/>
                <w14:textFill>
                  <w14:solidFill>
                    <w14:schemeClr w14:val="tx1"/>
                  </w14:solidFill>
                </w14:textFill>
              </w:rPr>
              <w:t>Analize uzoraka na prisutnost prirodnih i antropogenih zagađivala u vodama, hrani, predmetima opće uporabe, tlu, otpadu i zraku</w:t>
            </w:r>
          </w:p>
        </w:tc>
        <w:tc>
          <w:tcPr>
            <w:tcW w:w="782" w:type="pct"/>
            <w:tcBorders>
              <w:top w:val="double" w:color="auto" w:sz="4" w:space="0"/>
            </w:tcBorders>
            <w:shd w:val="clear" w:color="auto" w:fill="auto"/>
            <w:vAlign w:val="center"/>
          </w:tcPr>
          <w:p w14:paraId="7872FD25">
            <w:pPr>
              <w:spacing w:after="0"/>
              <w:jc w:val="right"/>
              <w:rPr>
                <w:bCs/>
                <w:color w:val="000000" w:themeColor="text1"/>
                <w:sz w:val="22"/>
                <w:szCs w:val="20"/>
                <w14:textFill>
                  <w14:solidFill>
                    <w14:schemeClr w14:val="tx1"/>
                  </w14:solidFill>
                </w14:textFill>
              </w:rPr>
            </w:pPr>
            <w:r>
              <w:rPr>
                <w:bCs/>
                <w:color w:val="000000" w:themeColor="text1"/>
                <w:sz w:val="22"/>
                <w:szCs w:val="20"/>
                <w14:textFill>
                  <w14:solidFill>
                    <w14:schemeClr w14:val="tx1"/>
                  </w14:solidFill>
                </w14:textFill>
              </w:rPr>
              <w:t>19.256</w:t>
            </w:r>
          </w:p>
        </w:tc>
        <w:tc>
          <w:tcPr>
            <w:tcW w:w="779" w:type="pct"/>
            <w:tcBorders>
              <w:top w:val="double" w:color="auto" w:sz="4" w:space="0"/>
            </w:tcBorders>
            <w:vAlign w:val="center"/>
          </w:tcPr>
          <w:p w14:paraId="6E667B6B">
            <w:pPr>
              <w:spacing w:after="0"/>
              <w:jc w:val="right"/>
              <w:rPr>
                <w:bCs/>
                <w:color w:val="000000" w:themeColor="text1"/>
                <w:sz w:val="22"/>
                <w:szCs w:val="20"/>
                <w14:textFill>
                  <w14:solidFill>
                    <w14:schemeClr w14:val="tx1"/>
                  </w14:solidFill>
                </w14:textFill>
              </w:rPr>
            </w:pPr>
            <w:r>
              <w:rPr>
                <w:bCs/>
                <w:color w:val="000000" w:themeColor="text1"/>
                <w:sz w:val="22"/>
                <w:szCs w:val="20"/>
                <w14:textFill>
                  <w14:solidFill>
                    <w14:schemeClr w14:val="tx1"/>
                  </w14:solidFill>
                </w14:textFill>
              </w:rPr>
              <w:t>24.000</w:t>
            </w:r>
          </w:p>
        </w:tc>
      </w:tr>
      <w:tr w14:paraId="244A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3439" w:type="pct"/>
            <w:shd w:val="clear" w:color="auto" w:fill="auto"/>
            <w:tcMar>
              <w:top w:w="0" w:type="dxa"/>
              <w:left w:w="108" w:type="dxa"/>
              <w:bottom w:w="0" w:type="dxa"/>
              <w:right w:w="108" w:type="dxa"/>
            </w:tcMar>
            <w:vAlign w:val="center"/>
          </w:tcPr>
          <w:p w14:paraId="5D7FE1F2">
            <w:pPr>
              <w:spacing w:after="0"/>
              <w:jc w:val="left"/>
              <w:rPr>
                <w:bCs/>
                <w:color w:val="000000" w:themeColor="text1"/>
                <w:sz w:val="22"/>
                <w:szCs w:val="20"/>
                <w14:textFill>
                  <w14:solidFill>
                    <w14:schemeClr w14:val="tx1"/>
                  </w14:solidFill>
                </w14:textFill>
              </w:rPr>
            </w:pPr>
            <w:r>
              <w:rPr>
                <w:color w:val="000000" w:themeColor="text1"/>
                <w:sz w:val="20"/>
                <w:szCs w:val="20"/>
                <w14:textFill>
                  <w14:solidFill>
                    <w14:schemeClr w14:val="tx1"/>
                  </w14:solidFill>
                </w14:textFill>
              </w:rPr>
              <w:t>Analize parametara na prisutnost prirodnih i antropogenih zagađivala u vodama, hrani, predmetima opće uporabe, tlu, otpadu i zraku</w:t>
            </w:r>
          </w:p>
        </w:tc>
        <w:tc>
          <w:tcPr>
            <w:tcW w:w="782" w:type="pct"/>
            <w:shd w:val="clear" w:color="auto" w:fill="auto"/>
            <w:vAlign w:val="center"/>
          </w:tcPr>
          <w:p w14:paraId="0E0BE133">
            <w:pPr>
              <w:spacing w:after="0"/>
              <w:jc w:val="right"/>
              <w:rPr>
                <w:bCs/>
                <w:color w:val="000000" w:themeColor="text1"/>
                <w:sz w:val="22"/>
                <w:szCs w:val="20"/>
                <w14:textFill>
                  <w14:solidFill>
                    <w14:schemeClr w14:val="tx1"/>
                  </w14:solidFill>
                </w14:textFill>
              </w:rPr>
            </w:pPr>
            <w:r>
              <w:rPr>
                <w:bCs/>
                <w:color w:val="000000" w:themeColor="text1"/>
                <w:sz w:val="22"/>
                <w:szCs w:val="20"/>
                <w14:textFill>
                  <w14:solidFill>
                    <w14:schemeClr w14:val="tx1"/>
                  </w14:solidFill>
                </w14:textFill>
              </w:rPr>
              <w:t>496.417</w:t>
            </w:r>
          </w:p>
        </w:tc>
        <w:tc>
          <w:tcPr>
            <w:tcW w:w="779" w:type="pct"/>
            <w:vAlign w:val="center"/>
          </w:tcPr>
          <w:p w14:paraId="78CB24A9">
            <w:pPr>
              <w:spacing w:after="0"/>
              <w:jc w:val="right"/>
              <w:rPr>
                <w:bCs/>
                <w:color w:val="000000" w:themeColor="text1"/>
                <w:sz w:val="22"/>
                <w:szCs w:val="20"/>
                <w14:textFill>
                  <w14:solidFill>
                    <w14:schemeClr w14:val="tx1"/>
                  </w14:solidFill>
                </w14:textFill>
              </w:rPr>
            </w:pPr>
            <w:r>
              <w:rPr>
                <w:bCs/>
                <w:color w:val="000000" w:themeColor="text1"/>
                <w:sz w:val="22"/>
                <w:szCs w:val="20"/>
                <w14:textFill>
                  <w14:solidFill>
                    <w14:schemeClr w14:val="tx1"/>
                  </w14:solidFill>
                </w14:textFill>
              </w:rPr>
              <w:t>650.000</w:t>
            </w:r>
          </w:p>
        </w:tc>
      </w:tr>
    </w:tbl>
    <w:p w14:paraId="4F99CF0B">
      <w:r>
        <w:br w:type="page"/>
      </w:r>
    </w:p>
    <w:p w14:paraId="034B2CFA">
      <w:pPr>
        <w:rPr>
          <w:i/>
          <w:iCs/>
        </w:rPr>
      </w:pPr>
      <w:r>
        <w:rPr>
          <w:i/>
          <w:iCs/>
        </w:rPr>
        <w:t xml:space="preserve">Tablica 7. – Realizirano u razdoblju od 1. 1. do 30. 9. 2024. godine i planirano u 2025. godini – </w:t>
      </w:r>
      <w:r>
        <w:rPr>
          <w:i/>
        </w:rPr>
        <w:t>terenska mjerenja kvalitete zraka; fizikalnih, kemijskih i bioloških parametara radnog okoliša</w:t>
      </w:r>
      <w:r>
        <w:rPr>
          <w:i/>
          <w:iCs/>
        </w:rPr>
        <w:t>; analize uzoraka radnog okoliša, analize uzoraka tla i otpada, ekotoksikološka ispitivanja te peludne analize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1418"/>
        <w:gridCol w:w="1270"/>
      </w:tblGrid>
      <w:tr w14:paraId="364B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6374" w:type="dxa"/>
            <w:tcBorders>
              <w:bottom w:val="double" w:color="auto" w:sz="4" w:space="0"/>
            </w:tcBorders>
            <w:vAlign w:val="center"/>
          </w:tcPr>
          <w:p w14:paraId="76092505">
            <w:pPr>
              <w:pStyle w:val="150"/>
              <w:jc w:val="left"/>
              <w:rPr>
                <w:i/>
                <w:iCs w:val="0"/>
                <w:sz w:val="20"/>
                <w:szCs w:val="20"/>
              </w:rPr>
            </w:pPr>
            <w:r>
              <w:rPr>
                <w:i/>
                <w:iCs w:val="0"/>
                <w:sz w:val="20"/>
                <w:szCs w:val="20"/>
              </w:rPr>
              <w:t>Vrsta analize</w:t>
            </w:r>
          </w:p>
        </w:tc>
        <w:tc>
          <w:tcPr>
            <w:tcW w:w="1418" w:type="dxa"/>
            <w:tcBorders>
              <w:bottom w:val="double" w:color="auto" w:sz="4" w:space="0"/>
            </w:tcBorders>
            <w:vAlign w:val="center"/>
          </w:tcPr>
          <w:p w14:paraId="57DE257B">
            <w:pPr>
              <w:pStyle w:val="150"/>
              <w:rPr>
                <w:i/>
                <w:iCs w:val="0"/>
                <w:sz w:val="20"/>
                <w:szCs w:val="20"/>
              </w:rPr>
            </w:pPr>
            <w:r>
              <w:rPr>
                <w:i/>
                <w:iCs w:val="0"/>
                <w:sz w:val="20"/>
                <w:szCs w:val="20"/>
              </w:rPr>
              <w:t>Realizirano do 30. 9. 2024.</w:t>
            </w:r>
          </w:p>
        </w:tc>
        <w:tc>
          <w:tcPr>
            <w:tcW w:w="1270" w:type="dxa"/>
            <w:tcBorders>
              <w:bottom w:val="double" w:color="auto" w:sz="4" w:space="0"/>
            </w:tcBorders>
            <w:vAlign w:val="center"/>
          </w:tcPr>
          <w:p w14:paraId="0050C969">
            <w:pPr>
              <w:pStyle w:val="150"/>
              <w:rPr>
                <w:i/>
                <w:iCs w:val="0"/>
                <w:sz w:val="20"/>
                <w:szCs w:val="20"/>
              </w:rPr>
            </w:pPr>
            <w:r>
              <w:rPr>
                <w:i/>
                <w:iCs w:val="0"/>
                <w:sz w:val="20"/>
                <w:szCs w:val="20"/>
              </w:rPr>
              <w:t>Planirano u 2025. g.</w:t>
            </w:r>
          </w:p>
        </w:tc>
      </w:tr>
      <w:tr w14:paraId="38E8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74" w:type="dxa"/>
            <w:tcBorders>
              <w:top w:val="double" w:color="auto" w:sz="4" w:space="0"/>
              <w:bottom w:val="single" w:color="auto" w:sz="4" w:space="0"/>
            </w:tcBorders>
            <w:vAlign w:val="center"/>
          </w:tcPr>
          <w:p w14:paraId="0977D5E9">
            <w:pPr>
              <w:pStyle w:val="150"/>
              <w:jc w:val="left"/>
              <w:rPr>
                <w:sz w:val="20"/>
                <w:szCs w:val="20"/>
              </w:rPr>
            </w:pPr>
            <w:r>
              <w:rPr>
                <w:sz w:val="20"/>
                <w:szCs w:val="20"/>
              </w:rPr>
              <w:t>Terenska mjerenja kvalitete zraka; fizikalnih, kemijskih i bioloških parametara radnog okoliša (ukupni broj svih mjerenja)</w:t>
            </w:r>
          </w:p>
        </w:tc>
        <w:tc>
          <w:tcPr>
            <w:tcW w:w="1418" w:type="dxa"/>
            <w:tcBorders>
              <w:top w:val="double" w:color="auto" w:sz="4" w:space="0"/>
              <w:bottom w:val="single" w:color="auto" w:sz="4" w:space="0"/>
            </w:tcBorders>
            <w:vAlign w:val="center"/>
          </w:tcPr>
          <w:p w14:paraId="55560497">
            <w:pPr>
              <w:pStyle w:val="150"/>
              <w:rPr>
                <w:sz w:val="20"/>
                <w:szCs w:val="20"/>
              </w:rPr>
            </w:pPr>
            <w:r>
              <w:rPr>
                <w:sz w:val="20"/>
                <w:szCs w:val="20"/>
              </w:rPr>
              <w:t>3.700</w:t>
            </w:r>
          </w:p>
        </w:tc>
        <w:tc>
          <w:tcPr>
            <w:tcW w:w="1270" w:type="dxa"/>
            <w:tcBorders>
              <w:top w:val="double" w:color="auto" w:sz="4" w:space="0"/>
              <w:bottom w:val="single" w:color="auto" w:sz="4" w:space="0"/>
            </w:tcBorders>
            <w:vAlign w:val="center"/>
          </w:tcPr>
          <w:p w14:paraId="5FFAF07E">
            <w:pPr>
              <w:pStyle w:val="150"/>
              <w:rPr>
                <w:sz w:val="20"/>
                <w:szCs w:val="20"/>
              </w:rPr>
            </w:pPr>
            <w:r>
              <w:rPr>
                <w:sz w:val="20"/>
                <w:szCs w:val="20"/>
              </w:rPr>
              <w:t>3.000</w:t>
            </w:r>
          </w:p>
        </w:tc>
      </w:tr>
      <w:tr w14:paraId="3887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74" w:type="dxa"/>
            <w:tcBorders>
              <w:top w:val="single" w:color="auto" w:sz="4" w:space="0"/>
            </w:tcBorders>
            <w:vAlign w:val="center"/>
          </w:tcPr>
          <w:p w14:paraId="5B7B4E02">
            <w:pPr>
              <w:pStyle w:val="150"/>
              <w:jc w:val="left"/>
              <w:rPr>
                <w:spacing w:val="-6"/>
                <w:sz w:val="20"/>
                <w:szCs w:val="20"/>
              </w:rPr>
            </w:pPr>
            <w:r>
              <w:rPr>
                <w:spacing w:val="-6"/>
                <w:sz w:val="20"/>
                <w:szCs w:val="20"/>
              </w:rPr>
              <w:t>Uzorci iz radnog okoliša (odlagališni plinovi; praćenje (monitoring) kvalitete zraka)</w:t>
            </w:r>
          </w:p>
        </w:tc>
        <w:tc>
          <w:tcPr>
            <w:tcW w:w="1418" w:type="dxa"/>
            <w:tcBorders>
              <w:top w:val="single" w:color="auto" w:sz="4" w:space="0"/>
            </w:tcBorders>
            <w:vAlign w:val="center"/>
          </w:tcPr>
          <w:p w14:paraId="246C79F2">
            <w:pPr>
              <w:pStyle w:val="150"/>
              <w:rPr>
                <w:sz w:val="20"/>
                <w:szCs w:val="20"/>
              </w:rPr>
            </w:pPr>
            <w:r>
              <w:rPr>
                <w:sz w:val="20"/>
                <w:szCs w:val="20"/>
              </w:rPr>
              <w:t>276</w:t>
            </w:r>
          </w:p>
        </w:tc>
        <w:tc>
          <w:tcPr>
            <w:tcW w:w="1270" w:type="dxa"/>
            <w:tcBorders>
              <w:top w:val="single" w:color="auto" w:sz="4" w:space="0"/>
            </w:tcBorders>
            <w:vAlign w:val="center"/>
          </w:tcPr>
          <w:p w14:paraId="708EFCDF">
            <w:pPr>
              <w:pStyle w:val="150"/>
              <w:rPr>
                <w:sz w:val="20"/>
                <w:szCs w:val="20"/>
              </w:rPr>
            </w:pPr>
            <w:r>
              <w:rPr>
                <w:sz w:val="20"/>
                <w:szCs w:val="20"/>
              </w:rPr>
              <w:t>250</w:t>
            </w:r>
          </w:p>
        </w:tc>
      </w:tr>
      <w:tr w14:paraId="55B8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74" w:type="dxa"/>
            <w:vAlign w:val="center"/>
          </w:tcPr>
          <w:p w14:paraId="51B0FB7C">
            <w:pPr>
              <w:pStyle w:val="150"/>
              <w:jc w:val="left"/>
              <w:rPr>
                <w:sz w:val="20"/>
                <w:szCs w:val="20"/>
              </w:rPr>
            </w:pPr>
            <w:r>
              <w:rPr>
                <w:sz w:val="20"/>
                <w:szCs w:val="20"/>
              </w:rPr>
              <w:t>Uzorci otpada, tla, muljeva i sedimenata</w:t>
            </w:r>
          </w:p>
        </w:tc>
        <w:tc>
          <w:tcPr>
            <w:tcW w:w="1418" w:type="dxa"/>
            <w:vAlign w:val="center"/>
          </w:tcPr>
          <w:p w14:paraId="0DACA5E8">
            <w:pPr>
              <w:pStyle w:val="150"/>
              <w:rPr>
                <w:sz w:val="20"/>
                <w:szCs w:val="20"/>
              </w:rPr>
            </w:pPr>
            <w:r>
              <w:rPr>
                <w:sz w:val="20"/>
                <w:szCs w:val="20"/>
              </w:rPr>
              <w:t>437</w:t>
            </w:r>
          </w:p>
        </w:tc>
        <w:tc>
          <w:tcPr>
            <w:tcW w:w="1270" w:type="dxa"/>
            <w:vAlign w:val="center"/>
          </w:tcPr>
          <w:p w14:paraId="3365714D">
            <w:pPr>
              <w:pStyle w:val="150"/>
              <w:rPr>
                <w:sz w:val="20"/>
                <w:szCs w:val="20"/>
              </w:rPr>
            </w:pPr>
            <w:r>
              <w:rPr>
                <w:sz w:val="20"/>
                <w:szCs w:val="20"/>
              </w:rPr>
              <w:t>400</w:t>
            </w:r>
          </w:p>
        </w:tc>
      </w:tr>
      <w:tr w14:paraId="1E92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74" w:type="dxa"/>
            <w:vAlign w:val="center"/>
          </w:tcPr>
          <w:p w14:paraId="1CE42EBB">
            <w:pPr>
              <w:pStyle w:val="150"/>
              <w:jc w:val="left"/>
              <w:rPr>
                <w:sz w:val="20"/>
                <w:szCs w:val="20"/>
              </w:rPr>
            </w:pPr>
            <w:r>
              <w:rPr>
                <w:sz w:val="20"/>
                <w:szCs w:val="20"/>
              </w:rPr>
              <w:t>Monitoring peludi (dvije mjerne postaje)</w:t>
            </w:r>
          </w:p>
        </w:tc>
        <w:tc>
          <w:tcPr>
            <w:tcW w:w="1418" w:type="dxa"/>
            <w:vAlign w:val="center"/>
          </w:tcPr>
          <w:p w14:paraId="78E18E80">
            <w:pPr>
              <w:pStyle w:val="150"/>
              <w:rPr>
                <w:sz w:val="20"/>
                <w:szCs w:val="20"/>
              </w:rPr>
            </w:pPr>
            <w:r>
              <w:rPr>
                <w:sz w:val="20"/>
                <w:szCs w:val="20"/>
              </w:rPr>
              <w:t>548</w:t>
            </w:r>
          </w:p>
        </w:tc>
        <w:tc>
          <w:tcPr>
            <w:tcW w:w="1270" w:type="dxa"/>
            <w:vAlign w:val="center"/>
          </w:tcPr>
          <w:p w14:paraId="0024CB26">
            <w:pPr>
              <w:pStyle w:val="150"/>
              <w:rPr>
                <w:sz w:val="20"/>
                <w:szCs w:val="20"/>
              </w:rPr>
            </w:pPr>
            <w:r>
              <w:rPr>
                <w:sz w:val="20"/>
                <w:szCs w:val="20"/>
              </w:rPr>
              <w:t>730</w:t>
            </w:r>
          </w:p>
        </w:tc>
      </w:tr>
      <w:tr w14:paraId="73FC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374" w:type="dxa"/>
            <w:vAlign w:val="center"/>
          </w:tcPr>
          <w:p w14:paraId="69E254AB">
            <w:pPr>
              <w:pStyle w:val="150"/>
              <w:jc w:val="left"/>
              <w:rPr>
                <w:sz w:val="20"/>
                <w:szCs w:val="20"/>
              </w:rPr>
            </w:pPr>
            <w:r>
              <w:rPr>
                <w:sz w:val="20"/>
                <w:szCs w:val="20"/>
              </w:rPr>
              <w:t>Ekotoksikološka ispitivanja</w:t>
            </w:r>
          </w:p>
        </w:tc>
        <w:tc>
          <w:tcPr>
            <w:tcW w:w="1418" w:type="dxa"/>
            <w:vAlign w:val="center"/>
          </w:tcPr>
          <w:p w14:paraId="2AD71CD5">
            <w:pPr>
              <w:pStyle w:val="150"/>
              <w:rPr>
                <w:sz w:val="20"/>
                <w:szCs w:val="20"/>
              </w:rPr>
            </w:pPr>
            <w:r>
              <w:rPr>
                <w:sz w:val="20"/>
                <w:szCs w:val="20"/>
              </w:rPr>
              <w:t>8</w:t>
            </w:r>
          </w:p>
        </w:tc>
        <w:tc>
          <w:tcPr>
            <w:tcW w:w="1270" w:type="dxa"/>
            <w:vAlign w:val="center"/>
          </w:tcPr>
          <w:p w14:paraId="1979E2C2">
            <w:pPr>
              <w:pStyle w:val="150"/>
              <w:rPr>
                <w:sz w:val="20"/>
                <w:szCs w:val="20"/>
              </w:rPr>
            </w:pPr>
            <w:r>
              <w:rPr>
                <w:sz w:val="20"/>
                <w:szCs w:val="20"/>
              </w:rPr>
              <w:t>5</w:t>
            </w:r>
          </w:p>
        </w:tc>
      </w:tr>
      <w:tr w14:paraId="175C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6374" w:type="dxa"/>
            <w:tcBorders>
              <w:top w:val="double" w:color="auto" w:sz="4" w:space="0"/>
              <w:bottom w:val="single" w:color="auto" w:sz="4" w:space="0"/>
            </w:tcBorders>
            <w:vAlign w:val="center"/>
          </w:tcPr>
          <w:p w14:paraId="4B5B74F2">
            <w:pPr>
              <w:pStyle w:val="150"/>
              <w:jc w:val="left"/>
              <w:rPr>
                <w:i/>
                <w:iCs w:val="0"/>
                <w:sz w:val="20"/>
                <w:szCs w:val="20"/>
              </w:rPr>
            </w:pPr>
            <w:r>
              <w:rPr>
                <w:i/>
                <w:iCs w:val="0"/>
                <w:sz w:val="20"/>
                <w:szCs w:val="20"/>
              </w:rPr>
              <w:t>Ukupno</w:t>
            </w:r>
          </w:p>
        </w:tc>
        <w:tc>
          <w:tcPr>
            <w:tcW w:w="1418" w:type="dxa"/>
            <w:tcBorders>
              <w:top w:val="double" w:color="auto" w:sz="4" w:space="0"/>
              <w:bottom w:val="single" w:color="auto" w:sz="4" w:space="0"/>
            </w:tcBorders>
            <w:vAlign w:val="center"/>
          </w:tcPr>
          <w:p w14:paraId="0EA23A90">
            <w:pPr>
              <w:pStyle w:val="150"/>
              <w:rPr>
                <w:sz w:val="20"/>
                <w:szCs w:val="20"/>
              </w:rPr>
            </w:pPr>
            <w:r>
              <w:rPr>
                <w:sz w:val="20"/>
                <w:szCs w:val="20"/>
              </w:rPr>
              <w:t>4.969</w:t>
            </w:r>
          </w:p>
        </w:tc>
        <w:tc>
          <w:tcPr>
            <w:tcW w:w="1270" w:type="dxa"/>
            <w:tcBorders>
              <w:top w:val="double" w:color="auto" w:sz="4" w:space="0"/>
              <w:bottom w:val="single" w:color="auto" w:sz="4" w:space="0"/>
            </w:tcBorders>
            <w:vAlign w:val="center"/>
          </w:tcPr>
          <w:p w14:paraId="00AD6734">
            <w:pPr>
              <w:pStyle w:val="150"/>
              <w:rPr>
                <w:sz w:val="20"/>
                <w:szCs w:val="20"/>
              </w:rPr>
            </w:pPr>
            <w:r>
              <w:rPr>
                <w:sz w:val="20"/>
                <w:szCs w:val="20"/>
              </w:rPr>
              <w:t>4.385</w:t>
            </w:r>
          </w:p>
        </w:tc>
      </w:tr>
    </w:tbl>
    <w:p w14:paraId="26772A90"/>
    <w:p w14:paraId="0D680A31">
      <w:pPr>
        <w:rPr>
          <w:i/>
          <w:iCs/>
        </w:rPr>
      </w:pPr>
      <w:r>
        <w:rPr>
          <w:i/>
          <w:iCs/>
        </w:rPr>
        <w:t>Tablica 8. – Realizirano u razdoblju od 1. 1. do 30. 9. 2024. godine i planirano u 2025. godini – analize uzoraka vode, predmeta opće uporabe i hrane</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4137"/>
        <w:gridCol w:w="1599"/>
        <w:gridCol w:w="1589"/>
      </w:tblGrid>
      <w:tr w14:paraId="1FDE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57" w:type="pct"/>
            <w:tcBorders>
              <w:bottom w:val="double" w:color="auto" w:sz="4" w:space="0"/>
            </w:tcBorders>
            <w:shd w:val="clear" w:color="auto" w:fill="auto"/>
            <w:noWrap/>
            <w:vAlign w:val="center"/>
          </w:tcPr>
          <w:p w14:paraId="6B5BB1D8">
            <w:pPr>
              <w:pStyle w:val="150"/>
              <w:jc w:val="left"/>
              <w:rPr>
                <w:i/>
                <w:iCs w:val="0"/>
                <w:sz w:val="20"/>
                <w:szCs w:val="20"/>
              </w:rPr>
            </w:pPr>
            <w:r>
              <w:rPr>
                <w:i/>
                <w:iCs w:val="0"/>
                <w:sz w:val="20"/>
                <w:szCs w:val="20"/>
              </w:rPr>
              <w:t>Uzorci</w:t>
            </w:r>
          </w:p>
        </w:tc>
        <w:tc>
          <w:tcPr>
            <w:tcW w:w="2227" w:type="pct"/>
            <w:tcBorders>
              <w:bottom w:val="double" w:color="auto" w:sz="4" w:space="0"/>
            </w:tcBorders>
            <w:shd w:val="clear" w:color="auto" w:fill="auto"/>
            <w:noWrap/>
            <w:vAlign w:val="center"/>
          </w:tcPr>
          <w:p w14:paraId="37C2A694">
            <w:pPr>
              <w:pStyle w:val="150"/>
              <w:jc w:val="left"/>
              <w:rPr>
                <w:i/>
                <w:iCs w:val="0"/>
                <w:sz w:val="20"/>
                <w:szCs w:val="20"/>
              </w:rPr>
            </w:pPr>
            <w:r>
              <w:rPr>
                <w:i/>
                <w:iCs w:val="0"/>
                <w:sz w:val="20"/>
                <w:szCs w:val="20"/>
              </w:rPr>
              <w:t>Ispitivanje</w:t>
            </w:r>
          </w:p>
        </w:tc>
        <w:tc>
          <w:tcPr>
            <w:tcW w:w="861" w:type="pct"/>
            <w:tcBorders>
              <w:bottom w:val="double" w:color="auto" w:sz="4" w:space="0"/>
            </w:tcBorders>
            <w:vAlign w:val="center"/>
          </w:tcPr>
          <w:p w14:paraId="417D4007">
            <w:pPr>
              <w:pStyle w:val="150"/>
              <w:rPr>
                <w:i/>
                <w:iCs w:val="0"/>
                <w:sz w:val="20"/>
                <w:szCs w:val="20"/>
              </w:rPr>
            </w:pPr>
            <w:r>
              <w:rPr>
                <w:i/>
                <w:iCs w:val="0"/>
                <w:sz w:val="20"/>
                <w:szCs w:val="20"/>
              </w:rPr>
              <w:t>Realizirano do 30. 9. 2024.</w:t>
            </w:r>
          </w:p>
        </w:tc>
        <w:tc>
          <w:tcPr>
            <w:tcW w:w="855" w:type="pct"/>
            <w:tcBorders>
              <w:bottom w:val="double" w:color="auto" w:sz="4" w:space="0"/>
            </w:tcBorders>
            <w:vAlign w:val="center"/>
          </w:tcPr>
          <w:p w14:paraId="7D0E1239">
            <w:pPr>
              <w:pStyle w:val="150"/>
              <w:rPr>
                <w:i/>
                <w:iCs w:val="0"/>
                <w:sz w:val="20"/>
                <w:szCs w:val="20"/>
              </w:rPr>
            </w:pPr>
            <w:r>
              <w:rPr>
                <w:i/>
                <w:iCs w:val="0"/>
                <w:sz w:val="20"/>
                <w:szCs w:val="20"/>
              </w:rPr>
              <w:t>Planirano u 2025. g.</w:t>
            </w:r>
          </w:p>
        </w:tc>
      </w:tr>
      <w:tr w14:paraId="1C21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restart"/>
            <w:tcBorders>
              <w:top w:val="double" w:color="auto" w:sz="4" w:space="0"/>
            </w:tcBorders>
            <w:shd w:val="clear" w:color="auto" w:fill="auto"/>
            <w:vAlign w:val="center"/>
          </w:tcPr>
          <w:p w14:paraId="2567C54F">
            <w:pPr>
              <w:pStyle w:val="150"/>
              <w:jc w:val="left"/>
              <w:rPr>
                <w:sz w:val="20"/>
                <w:szCs w:val="20"/>
              </w:rPr>
            </w:pPr>
            <w:r>
              <w:rPr>
                <w:sz w:val="20"/>
                <w:szCs w:val="20"/>
              </w:rPr>
              <w:t>Otpadne, pitke i površinske vode</w:t>
            </w:r>
          </w:p>
        </w:tc>
        <w:tc>
          <w:tcPr>
            <w:tcW w:w="2227" w:type="pct"/>
            <w:tcBorders>
              <w:top w:val="double" w:color="auto" w:sz="4" w:space="0"/>
            </w:tcBorders>
            <w:shd w:val="clear" w:color="auto" w:fill="auto"/>
            <w:noWrap/>
            <w:vAlign w:val="center"/>
          </w:tcPr>
          <w:p w14:paraId="190924D8">
            <w:pPr>
              <w:pStyle w:val="150"/>
              <w:jc w:val="left"/>
              <w:rPr>
                <w:sz w:val="20"/>
                <w:szCs w:val="20"/>
              </w:rPr>
            </w:pPr>
            <w:r>
              <w:rPr>
                <w:sz w:val="20"/>
                <w:szCs w:val="20"/>
              </w:rPr>
              <w:t>Određivanje ukupnih ulja</w:t>
            </w:r>
          </w:p>
        </w:tc>
        <w:tc>
          <w:tcPr>
            <w:tcW w:w="861" w:type="pct"/>
            <w:tcBorders>
              <w:top w:val="double" w:color="auto" w:sz="4" w:space="0"/>
            </w:tcBorders>
            <w:vAlign w:val="center"/>
          </w:tcPr>
          <w:p w14:paraId="0ED72E57">
            <w:pPr>
              <w:pStyle w:val="150"/>
              <w:rPr>
                <w:sz w:val="20"/>
                <w:szCs w:val="20"/>
              </w:rPr>
            </w:pPr>
            <w:r>
              <w:rPr>
                <w:sz w:val="20"/>
                <w:szCs w:val="20"/>
              </w:rPr>
              <w:t>340</w:t>
            </w:r>
          </w:p>
        </w:tc>
        <w:tc>
          <w:tcPr>
            <w:tcW w:w="855" w:type="pct"/>
            <w:tcBorders>
              <w:top w:val="double" w:color="auto" w:sz="4" w:space="0"/>
            </w:tcBorders>
            <w:vAlign w:val="center"/>
          </w:tcPr>
          <w:p w14:paraId="70197819">
            <w:pPr>
              <w:pStyle w:val="150"/>
              <w:rPr>
                <w:sz w:val="20"/>
                <w:szCs w:val="20"/>
              </w:rPr>
            </w:pPr>
            <w:r>
              <w:rPr>
                <w:sz w:val="20"/>
                <w:szCs w:val="20"/>
              </w:rPr>
              <w:t>300</w:t>
            </w:r>
          </w:p>
        </w:tc>
      </w:tr>
      <w:tr w14:paraId="0EC8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vAlign w:val="center"/>
          </w:tcPr>
          <w:p w14:paraId="45DF201D">
            <w:pPr>
              <w:pStyle w:val="150"/>
              <w:jc w:val="left"/>
              <w:rPr>
                <w:sz w:val="20"/>
                <w:szCs w:val="20"/>
              </w:rPr>
            </w:pPr>
          </w:p>
        </w:tc>
        <w:tc>
          <w:tcPr>
            <w:tcW w:w="2227" w:type="pct"/>
            <w:shd w:val="clear" w:color="auto" w:fill="auto"/>
            <w:vAlign w:val="center"/>
          </w:tcPr>
          <w:p w14:paraId="1BDFC078">
            <w:pPr>
              <w:pStyle w:val="150"/>
              <w:jc w:val="left"/>
              <w:rPr>
                <w:sz w:val="20"/>
                <w:szCs w:val="20"/>
              </w:rPr>
            </w:pPr>
            <w:r>
              <w:rPr>
                <w:sz w:val="20"/>
                <w:szCs w:val="20"/>
              </w:rPr>
              <w:t>Određivanje otopljenog organskog ugljika (DOC), i ukupnog organskog ugljika (TOC)</w:t>
            </w:r>
          </w:p>
        </w:tc>
        <w:tc>
          <w:tcPr>
            <w:tcW w:w="861" w:type="pct"/>
            <w:vAlign w:val="center"/>
          </w:tcPr>
          <w:p w14:paraId="71E77D74">
            <w:pPr>
              <w:pStyle w:val="150"/>
              <w:rPr>
                <w:sz w:val="20"/>
                <w:szCs w:val="20"/>
              </w:rPr>
            </w:pPr>
            <w:r>
              <w:rPr>
                <w:sz w:val="20"/>
                <w:szCs w:val="20"/>
              </w:rPr>
              <w:t>895</w:t>
            </w:r>
          </w:p>
        </w:tc>
        <w:tc>
          <w:tcPr>
            <w:tcW w:w="855" w:type="pct"/>
            <w:vAlign w:val="center"/>
          </w:tcPr>
          <w:p w14:paraId="58C4BE61">
            <w:pPr>
              <w:pStyle w:val="150"/>
              <w:rPr>
                <w:sz w:val="20"/>
                <w:szCs w:val="20"/>
              </w:rPr>
            </w:pPr>
            <w:r>
              <w:rPr>
                <w:sz w:val="20"/>
                <w:szCs w:val="20"/>
              </w:rPr>
              <w:t>850</w:t>
            </w:r>
          </w:p>
        </w:tc>
      </w:tr>
      <w:tr w14:paraId="64C1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vAlign w:val="center"/>
          </w:tcPr>
          <w:p w14:paraId="3B905DA0">
            <w:pPr>
              <w:pStyle w:val="150"/>
              <w:jc w:val="left"/>
              <w:rPr>
                <w:sz w:val="20"/>
                <w:szCs w:val="20"/>
              </w:rPr>
            </w:pPr>
          </w:p>
        </w:tc>
        <w:tc>
          <w:tcPr>
            <w:tcW w:w="2227" w:type="pct"/>
            <w:shd w:val="clear" w:color="auto" w:fill="auto"/>
            <w:noWrap/>
            <w:vAlign w:val="center"/>
          </w:tcPr>
          <w:p w14:paraId="2C649506">
            <w:pPr>
              <w:pStyle w:val="150"/>
              <w:jc w:val="left"/>
              <w:rPr>
                <w:sz w:val="20"/>
                <w:szCs w:val="20"/>
              </w:rPr>
            </w:pPr>
            <w:r>
              <w:rPr>
                <w:sz w:val="20"/>
                <w:szCs w:val="20"/>
              </w:rPr>
              <w:t>AOX</w:t>
            </w:r>
          </w:p>
        </w:tc>
        <w:tc>
          <w:tcPr>
            <w:tcW w:w="861" w:type="pct"/>
            <w:vAlign w:val="center"/>
          </w:tcPr>
          <w:p w14:paraId="29B5CF1D">
            <w:pPr>
              <w:pStyle w:val="150"/>
              <w:rPr>
                <w:sz w:val="20"/>
                <w:szCs w:val="20"/>
              </w:rPr>
            </w:pPr>
            <w:r>
              <w:rPr>
                <w:sz w:val="20"/>
                <w:szCs w:val="20"/>
              </w:rPr>
              <w:t>164</w:t>
            </w:r>
          </w:p>
        </w:tc>
        <w:tc>
          <w:tcPr>
            <w:tcW w:w="855" w:type="pct"/>
            <w:vAlign w:val="center"/>
          </w:tcPr>
          <w:p w14:paraId="3ED74D66">
            <w:pPr>
              <w:pStyle w:val="150"/>
              <w:rPr>
                <w:sz w:val="20"/>
                <w:szCs w:val="20"/>
              </w:rPr>
            </w:pPr>
            <w:r>
              <w:rPr>
                <w:sz w:val="20"/>
                <w:szCs w:val="20"/>
              </w:rPr>
              <w:t>160</w:t>
            </w:r>
          </w:p>
        </w:tc>
      </w:tr>
      <w:tr w14:paraId="2229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shd w:val="clear" w:color="auto" w:fill="auto"/>
            <w:noWrap/>
            <w:vAlign w:val="center"/>
          </w:tcPr>
          <w:p w14:paraId="5D66A83C">
            <w:pPr>
              <w:pStyle w:val="150"/>
              <w:jc w:val="left"/>
              <w:rPr>
                <w:sz w:val="20"/>
                <w:szCs w:val="20"/>
              </w:rPr>
            </w:pPr>
            <w:r>
              <w:rPr>
                <w:sz w:val="20"/>
                <w:szCs w:val="20"/>
              </w:rPr>
              <w:t>Vode/prehrana</w:t>
            </w:r>
          </w:p>
        </w:tc>
        <w:tc>
          <w:tcPr>
            <w:tcW w:w="2227" w:type="pct"/>
            <w:shd w:val="clear" w:color="auto" w:fill="auto"/>
            <w:noWrap/>
            <w:vAlign w:val="center"/>
          </w:tcPr>
          <w:p w14:paraId="4650F597">
            <w:pPr>
              <w:pStyle w:val="150"/>
              <w:jc w:val="left"/>
              <w:rPr>
                <w:sz w:val="20"/>
                <w:szCs w:val="20"/>
              </w:rPr>
            </w:pPr>
            <w:r>
              <w:rPr>
                <w:sz w:val="20"/>
                <w:szCs w:val="20"/>
              </w:rPr>
              <w:t>fluoridi</w:t>
            </w:r>
          </w:p>
        </w:tc>
        <w:tc>
          <w:tcPr>
            <w:tcW w:w="861" w:type="pct"/>
            <w:vAlign w:val="center"/>
          </w:tcPr>
          <w:p w14:paraId="2AEA7BFF">
            <w:pPr>
              <w:pStyle w:val="150"/>
              <w:rPr>
                <w:sz w:val="20"/>
                <w:szCs w:val="20"/>
              </w:rPr>
            </w:pPr>
            <w:r>
              <w:rPr>
                <w:sz w:val="20"/>
                <w:szCs w:val="20"/>
              </w:rPr>
              <w:t>54</w:t>
            </w:r>
          </w:p>
        </w:tc>
        <w:tc>
          <w:tcPr>
            <w:tcW w:w="855" w:type="pct"/>
            <w:vAlign w:val="center"/>
          </w:tcPr>
          <w:p w14:paraId="00A3ACD3">
            <w:pPr>
              <w:pStyle w:val="150"/>
              <w:rPr>
                <w:sz w:val="20"/>
                <w:szCs w:val="20"/>
              </w:rPr>
            </w:pPr>
            <w:r>
              <w:rPr>
                <w:sz w:val="20"/>
                <w:szCs w:val="20"/>
              </w:rPr>
              <w:t>50</w:t>
            </w:r>
          </w:p>
        </w:tc>
      </w:tr>
      <w:tr w14:paraId="33FC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restart"/>
            <w:shd w:val="clear" w:color="auto" w:fill="auto"/>
            <w:noWrap/>
            <w:vAlign w:val="center"/>
          </w:tcPr>
          <w:p w14:paraId="364BF6E4">
            <w:pPr>
              <w:pStyle w:val="150"/>
              <w:jc w:val="left"/>
              <w:rPr>
                <w:sz w:val="20"/>
                <w:szCs w:val="20"/>
              </w:rPr>
            </w:pPr>
            <w:r>
              <w:rPr>
                <w:sz w:val="20"/>
                <w:szCs w:val="20"/>
              </w:rPr>
              <w:t>Vode</w:t>
            </w:r>
          </w:p>
        </w:tc>
        <w:tc>
          <w:tcPr>
            <w:tcW w:w="2227" w:type="pct"/>
            <w:shd w:val="clear" w:color="auto" w:fill="auto"/>
            <w:noWrap/>
            <w:vAlign w:val="center"/>
          </w:tcPr>
          <w:p w14:paraId="1B4B5200">
            <w:pPr>
              <w:pStyle w:val="150"/>
              <w:jc w:val="left"/>
              <w:rPr>
                <w:sz w:val="20"/>
                <w:szCs w:val="20"/>
              </w:rPr>
            </w:pPr>
            <w:r>
              <w:rPr>
                <w:sz w:val="20"/>
                <w:szCs w:val="20"/>
              </w:rPr>
              <w:t>sulfidi</w:t>
            </w:r>
          </w:p>
        </w:tc>
        <w:tc>
          <w:tcPr>
            <w:tcW w:w="861" w:type="pct"/>
            <w:vAlign w:val="center"/>
          </w:tcPr>
          <w:p w14:paraId="3395789B">
            <w:pPr>
              <w:pStyle w:val="150"/>
              <w:rPr>
                <w:sz w:val="20"/>
                <w:szCs w:val="20"/>
              </w:rPr>
            </w:pPr>
            <w:r>
              <w:rPr>
                <w:sz w:val="20"/>
                <w:szCs w:val="20"/>
              </w:rPr>
              <w:t>181</w:t>
            </w:r>
          </w:p>
        </w:tc>
        <w:tc>
          <w:tcPr>
            <w:tcW w:w="855" w:type="pct"/>
            <w:vAlign w:val="center"/>
          </w:tcPr>
          <w:p w14:paraId="0840AB67">
            <w:pPr>
              <w:pStyle w:val="150"/>
              <w:rPr>
                <w:sz w:val="20"/>
                <w:szCs w:val="20"/>
              </w:rPr>
            </w:pPr>
            <w:r>
              <w:rPr>
                <w:sz w:val="20"/>
                <w:szCs w:val="20"/>
              </w:rPr>
              <w:t>150</w:t>
            </w:r>
          </w:p>
        </w:tc>
      </w:tr>
      <w:tr w14:paraId="41DD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noWrap/>
            <w:vAlign w:val="center"/>
          </w:tcPr>
          <w:p w14:paraId="29329FAF">
            <w:pPr>
              <w:pStyle w:val="150"/>
              <w:jc w:val="left"/>
              <w:rPr>
                <w:sz w:val="20"/>
                <w:szCs w:val="20"/>
              </w:rPr>
            </w:pPr>
          </w:p>
        </w:tc>
        <w:tc>
          <w:tcPr>
            <w:tcW w:w="2227" w:type="pct"/>
            <w:shd w:val="clear" w:color="auto" w:fill="auto"/>
            <w:vAlign w:val="center"/>
          </w:tcPr>
          <w:p w14:paraId="1624CAE1">
            <w:pPr>
              <w:pStyle w:val="150"/>
              <w:jc w:val="left"/>
              <w:rPr>
                <w:spacing w:val="-8"/>
                <w:sz w:val="20"/>
                <w:szCs w:val="20"/>
              </w:rPr>
            </w:pPr>
            <w:r>
              <w:rPr>
                <w:spacing w:val="-8"/>
                <w:sz w:val="20"/>
                <w:szCs w:val="20"/>
              </w:rPr>
              <w:t>Ekotoksikološka ispitivanja otpadnih voda (daphnie)</w:t>
            </w:r>
          </w:p>
        </w:tc>
        <w:tc>
          <w:tcPr>
            <w:tcW w:w="861" w:type="pct"/>
            <w:vAlign w:val="center"/>
          </w:tcPr>
          <w:p w14:paraId="1C87C619">
            <w:pPr>
              <w:pStyle w:val="150"/>
              <w:rPr>
                <w:sz w:val="20"/>
                <w:szCs w:val="20"/>
              </w:rPr>
            </w:pPr>
            <w:r>
              <w:rPr>
                <w:sz w:val="20"/>
                <w:szCs w:val="20"/>
              </w:rPr>
              <w:t>240</w:t>
            </w:r>
          </w:p>
        </w:tc>
        <w:tc>
          <w:tcPr>
            <w:tcW w:w="855" w:type="pct"/>
            <w:vAlign w:val="center"/>
          </w:tcPr>
          <w:p w14:paraId="1FC774F1">
            <w:pPr>
              <w:pStyle w:val="150"/>
              <w:rPr>
                <w:sz w:val="20"/>
                <w:szCs w:val="20"/>
              </w:rPr>
            </w:pPr>
            <w:r>
              <w:rPr>
                <w:sz w:val="20"/>
                <w:szCs w:val="20"/>
              </w:rPr>
              <w:t>240</w:t>
            </w:r>
          </w:p>
        </w:tc>
      </w:tr>
      <w:tr w14:paraId="2916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noWrap/>
            <w:vAlign w:val="center"/>
          </w:tcPr>
          <w:p w14:paraId="7C2A7268">
            <w:pPr>
              <w:pStyle w:val="150"/>
              <w:jc w:val="left"/>
              <w:rPr>
                <w:sz w:val="20"/>
                <w:szCs w:val="20"/>
              </w:rPr>
            </w:pPr>
          </w:p>
        </w:tc>
        <w:tc>
          <w:tcPr>
            <w:tcW w:w="2227" w:type="pct"/>
            <w:shd w:val="clear" w:color="auto" w:fill="auto"/>
            <w:vAlign w:val="center"/>
          </w:tcPr>
          <w:p w14:paraId="03740D8D">
            <w:pPr>
              <w:pStyle w:val="150"/>
              <w:jc w:val="left"/>
              <w:rPr>
                <w:spacing w:val="-6"/>
                <w:sz w:val="20"/>
                <w:szCs w:val="20"/>
              </w:rPr>
            </w:pPr>
            <w:r>
              <w:rPr>
                <w:spacing w:val="-6"/>
                <w:sz w:val="20"/>
                <w:szCs w:val="20"/>
              </w:rPr>
              <w:t>Ekotoksikološka ispitivanja otpadnih voda (alge)</w:t>
            </w:r>
          </w:p>
        </w:tc>
        <w:tc>
          <w:tcPr>
            <w:tcW w:w="861" w:type="pct"/>
            <w:vAlign w:val="center"/>
          </w:tcPr>
          <w:p w14:paraId="163880D0">
            <w:pPr>
              <w:pStyle w:val="150"/>
              <w:rPr>
                <w:sz w:val="20"/>
                <w:szCs w:val="20"/>
              </w:rPr>
            </w:pPr>
            <w:r>
              <w:rPr>
                <w:sz w:val="20"/>
                <w:szCs w:val="20"/>
              </w:rPr>
              <w:t>43</w:t>
            </w:r>
          </w:p>
        </w:tc>
        <w:tc>
          <w:tcPr>
            <w:tcW w:w="855" w:type="pct"/>
            <w:vAlign w:val="center"/>
          </w:tcPr>
          <w:p w14:paraId="10B273F2">
            <w:pPr>
              <w:pStyle w:val="150"/>
              <w:rPr>
                <w:sz w:val="20"/>
                <w:szCs w:val="20"/>
              </w:rPr>
            </w:pPr>
            <w:r>
              <w:rPr>
                <w:sz w:val="20"/>
                <w:szCs w:val="20"/>
              </w:rPr>
              <w:t>40</w:t>
            </w:r>
          </w:p>
        </w:tc>
      </w:tr>
      <w:tr w14:paraId="4B7E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restart"/>
            <w:shd w:val="clear" w:color="auto" w:fill="auto"/>
            <w:noWrap/>
            <w:vAlign w:val="center"/>
          </w:tcPr>
          <w:p w14:paraId="6F4DA1CD">
            <w:pPr>
              <w:pStyle w:val="150"/>
              <w:jc w:val="left"/>
              <w:rPr>
                <w:sz w:val="20"/>
                <w:szCs w:val="20"/>
              </w:rPr>
            </w:pPr>
            <w:r>
              <w:rPr>
                <w:sz w:val="20"/>
                <w:szCs w:val="20"/>
              </w:rPr>
              <w:t>Prehrana</w:t>
            </w:r>
          </w:p>
        </w:tc>
        <w:tc>
          <w:tcPr>
            <w:tcW w:w="2227" w:type="pct"/>
            <w:shd w:val="clear" w:color="auto" w:fill="auto"/>
            <w:noWrap/>
            <w:vAlign w:val="center"/>
          </w:tcPr>
          <w:p w14:paraId="10452651">
            <w:pPr>
              <w:pStyle w:val="150"/>
              <w:jc w:val="left"/>
              <w:rPr>
                <w:sz w:val="20"/>
                <w:szCs w:val="20"/>
              </w:rPr>
            </w:pPr>
            <w:r>
              <w:rPr>
                <w:sz w:val="20"/>
                <w:szCs w:val="20"/>
              </w:rPr>
              <w:t>IR identifikacija</w:t>
            </w:r>
          </w:p>
        </w:tc>
        <w:tc>
          <w:tcPr>
            <w:tcW w:w="861" w:type="pct"/>
            <w:vAlign w:val="center"/>
          </w:tcPr>
          <w:p w14:paraId="47DBBA2E">
            <w:pPr>
              <w:pStyle w:val="150"/>
              <w:rPr>
                <w:sz w:val="20"/>
                <w:szCs w:val="20"/>
              </w:rPr>
            </w:pPr>
            <w:r>
              <w:rPr>
                <w:sz w:val="20"/>
                <w:szCs w:val="20"/>
              </w:rPr>
              <w:t>61</w:t>
            </w:r>
          </w:p>
        </w:tc>
        <w:tc>
          <w:tcPr>
            <w:tcW w:w="855" w:type="pct"/>
            <w:vAlign w:val="center"/>
          </w:tcPr>
          <w:p w14:paraId="53825EDC">
            <w:pPr>
              <w:pStyle w:val="150"/>
              <w:rPr>
                <w:sz w:val="20"/>
                <w:szCs w:val="20"/>
              </w:rPr>
            </w:pPr>
            <w:r>
              <w:rPr>
                <w:sz w:val="20"/>
                <w:szCs w:val="20"/>
              </w:rPr>
              <w:t>50</w:t>
            </w:r>
          </w:p>
        </w:tc>
      </w:tr>
      <w:tr w14:paraId="3EB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noWrap/>
            <w:vAlign w:val="center"/>
          </w:tcPr>
          <w:p w14:paraId="3D59E5B3">
            <w:pPr>
              <w:pStyle w:val="150"/>
              <w:jc w:val="left"/>
              <w:rPr>
                <w:sz w:val="20"/>
                <w:szCs w:val="20"/>
              </w:rPr>
            </w:pPr>
          </w:p>
        </w:tc>
        <w:tc>
          <w:tcPr>
            <w:tcW w:w="2227" w:type="pct"/>
            <w:shd w:val="clear" w:color="auto" w:fill="auto"/>
            <w:noWrap/>
            <w:vAlign w:val="center"/>
          </w:tcPr>
          <w:p w14:paraId="3CCDCD15">
            <w:pPr>
              <w:pStyle w:val="150"/>
              <w:jc w:val="left"/>
              <w:rPr>
                <w:sz w:val="20"/>
                <w:szCs w:val="20"/>
              </w:rPr>
            </w:pPr>
            <w:r>
              <w:rPr>
                <w:sz w:val="20"/>
                <w:szCs w:val="20"/>
              </w:rPr>
              <w:t>Pregledna X-ray analiza</w:t>
            </w:r>
          </w:p>
        </w:tc>
        <w:tc>
          <w:tcPr>
            <w:tcW w:w="861" w:type="pct"/>
            <w:vAlign w:val="center"/>
          </w:tcPr>
          <w:p w14:paraId="3E417C4A">
            <w:pPr>
              <w:pStyle w:val="150"/>
              <w:rPr>
                <w:sz w:val="20"/>
                <w:szCs w:val="20"/>
              </w:rPr>
            </w:pPr>
            <w:r>
              <w:rPr>
                <w:sz w:val="20"/>
                <w:szCs w:val="20"/>
              </w:rPr>
              <w:t>48</w:t>
            </w:r>
          </w:p>
        </w:tc>
        <w:tc>
          <w:tcPr>
            <w:tcW w:w="855" w:type="pct"/>
            <w:vAlign w:val="center"/>
          </w:tcPr>
          <w:p w14:paraId="7149FEAB">
            <w:pPr>
              <w:pStyle w:val="150"/>
              <w:rPr>
                <w:sz w:val="20"/>
                <w:szCs w:val="20"/>
              </w:rPr>
            </w:pPr>
            <w:r>
              <w:rPr>
                <w:sz w:val="20"/>
                <w:szCs w:val="20"/>
              </w:rPr>
              <w:t>50</w:t>
            </w:r>
          </w:p>
        </w:tc>
      </w:tr>
      <w:tr w14:paraId="119B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noWrap/>
            <w:vAlign w:val="center"/>
          </w:tcPr>
          <w:p w14:paraId="46AE5049">
            <w:pPr>
              <w:pStyle w:val="150"/>
              <w:jc w:val="left"/>
              <w:rPr>
                <w:sz w:val="20"/>
                <w:szCs w:val="20"/>
              </w:rPr>
            </w:pPr>
          </w:p>
        </w:tc>
        <w:tc>
          <w:tcPr>
            <w:tcW w:w="2227" w:type="pct"/>
            <w:shd w:val="clear" w:color="auto" w:fill="auto"/>
            <w:noWrap/>
            <w:vAlign w:val="center"/>
          </w:tcPr>
          <w:p w14:paraId="284AD87D">
            <w:pPr>
              <w:pStyle w:val="150"/>
              <w:jc w:val="left"/>
              <w:rPr>
                <w:sz w:val="20"/>
                <w:szCs w:val="20"/>
              </w:rPr>
            </w:pPr>
            <w:r>
              <w:rPr>
                <w:sz w:val="20"/>
                <w:szCs w:val="20"/>
              </w:rPr>
              <w:t>Peludna analiza meda</w:t>
            </w:r>
          </w:p>
        </w:tc>
        <w:tc>
          <w:tcPr>
            <w:tcW w:w="861" w:type="pct"/>
            <w:vAlign w:val="center"/>
          </w:tcPr>
          <w:p w14:paraId="5A5FF053">
            <w:pPr>
              <w:pStyle w:val="150"/>
              <w:rPr>
                <w:sz w:val="20"/>
                <w:szCs w:val="20"/>
              </w:rPr>
            </w:pPr>
            <w:r>
              <w:rPr>
                <w:sz w:val="20"/>
                <w:szCs w:val="20"/>
              </w:rPr>
              <w:t>133</w:t>
            </w:r>
          </w:p>
        </w:tc>
        <w:tc>
          <w:tcPr>
            <w:tcW w:w="855" w:type="pct"/>
            <w:vAlign w:val="center"/>
          </w:tcPr>
          <w:p w14:paraId="2D9393D8">
            <w:pPr>
              <w:pStyle w:val="150"/>
              <w:rPr>
                <w:sz w:val="20"/>
                <w:szCs w:val="20"/>
              </w:rPr>
            </w:pPr>
            <w:r>
              <w:rPr>
                <w:sz w:val="20"/>
                <w:szCs w:val="20"/>
              </w:rPr>
              <w:t>130</w:t>
            </w:r>
          </w:p>
        </w:tc>
      </w:tr>
      <w:tr w14:paraId="325D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vMerge w:val="continue"/>
            <w:shd w:val="clear" w:color="auto" w:fill="auto"/>
            <w:noWrap/>
            <w:vAlign w:val="center"/>
          </w:tcPr>
          <w:p w14:paraId="0A6DD5F0">
            <w:pPr>
              <w:pStyle w:val="150"/>
              <w:jc w:val="left"/>
              <w:rPr>
                <w:sz w:val="20"/>
                <w:szCs w:val="20"/>
              </w:rPr>
            </w:pPr>
          </w:p>
        </w:tc>
        <w:tc>
          <w:tcPr>
            <w:tcW w:w="2227" w:type="pct"/>
            <w:shd w:val="clear" w:color="auto" w:fill="auto"/>
            <w:vAlign w:val="center"/>
          </w:tcPr>
          <w:p w14:paraId="32B50AC4">
            <w:pPr>
              <w:pStyle w:val="150"/>
              <w:jc w:val="left"/>
              <w:rPr>
                <w:sz w:val="20"/>
                <w:szCs w:val="20"/>
              </w:rPr>
            </w:pPr>
            <w:r>
              <w:rPr>
                <w:sz w:val="20"/>
                <w:szCs w:val="20"/>
              </w:rPr>
              <w:t>Analiza biološke razgradnje</w:t>
            </w:r>
          </w:p>
        </w:tc>
        <w:tc>
          <w:tcPr>
            <w:tcW w:w="861" w:type="pct"/>
            <w:vAlign w:val="center"/>
          </w:tcPr>
          <w:p w14:paraId="666ACBFB">
            <w:pPr>
              <w:pStyle w:val="150"/>
              <w:rPr>
                <w:sz w:val="20"/>
                <w:szCs w:val="20"/>
              </w:rPr>
            </w:pPr>
            <w:r>
              <w:rPr>
                <w:sz w:val="20"/>
                <w:szCs w:val="20"/>
              </w:rPr>
              <w:t>32</w:t>
            </w:r>
          </w:p>
        </w:tc>
        <w:tc>
          <w:tcPr>
            <w:tcW w:w="855" w:type="pct"/>
            <w:vAlign w:val="center"/>
          </w:tcPr>
          <w:p w14:paraId="2A2040AA">
            <w:pPr>
              <w:pStyle w:val="150"/>
              <w:rPr>
                <w:sz w:val="20"/>
                <w:szCs w:val="20"/>
              </w:rPr>
            </w:pPr>
            <w:r>
              <w:rPr>
                <w:sz w:val="20"/>
                <w:szCs w:val="20"/>
              </w:rPr>
              <w:t>30</w:t>
            </w:r>
          </w:p>
        </w:tc>
      </w:tr>
      <w:tr w14:paraId="1380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7" w:type="pct"/>
            <w:tcBorders>
              <w:bottom w:val="double" w:color="auto" w:sz="4" w:space="0"/>
            </w:tcBorders>
            <w:shd w:val="clear" w:color="auto" w:fill="auto"/>
            <w:noWrap/>
            <w:vAlign w:val="center"/>
          </w:tcPr>
          <w:p w14:paraId="488A220F">
            <w:pPr>
              <w:pStyle w:val="150"/>
              <w:jc w:val="left"/>
              <w:rPr>
                <w:sz w:val="20"/>
                <w:szCs w:val="20"/>
              </w:rPr>
            </w:pPr>
            <w:r>
              <w:rPr>
                <w:sz w:val="20"/>
                <w:szCs w:val="20"/>
              </w:rPr>
              <w:t>Mikrobiologija</w:t>
            </w:r>
          </w:p>
        </w:tc>
        <w:tc>
          <w:tcPr>
            <w:tcW w:w="2227" w:type="pct"/>
            <w:tcBorders>
              <w:bottom w:val="double" w:color="auto" w:sz="4" w:space="0"/>
            </w:tcBorders>
            <w:shd w:val="clear" w:color="auto" w:fill="auto"/>
            <w:vAlign w:val="center"/>
          </w:tcPr>
          <w:p w14:paraId="76497682">
            <w:pPr>
              <w:pStyle w:val="150"/>
              <w:jc w:val="left"/>
              <w:rPr>
                <w:sz w:val="20"/>
                <w:szCs w:val="20"/>
              </w:rPr>
            </w:pPr>
            <w:r>
              <w:rPr>
                <w:sz w:val="20"/>
                <w:szCs w:val="20"/>
              </w:rPr>
              <w:t>Brisevi</w:t>
            </w:r>
          </w:p>
        </w:tc>
        <w:tc>
          <w:tcPr>
            <w:tcW w:w="861" w:type="pct"/>
            <w:tcBorders>
              <w:bottom w:val="double" w:color="auto" w:sz="4" w:space="0"/>
            </w:tcBorders>
            <w:vAlign w:val="center"/>
          </w:tcPr>
          <w:p w14:paraId="7B5449FE">
            <w:pPr>
              <w:pStyle w:val="150"/>
              <w:rPr>
                <w:sz w:val="20"/>
                <w:szCs w:val="20"/>
              </w:rPr>
            </w:pPr>
            <w:r>
              <w:rPr>
                <w:sz w:val="20"/>
                <w:szCs w:val="20"/>
              </w:rPr>
              <w:t>23</w:t>
            </w:r>
          </w:p>
        </w:tc>
        <w:tc>
          <w:tcPr>
            <w:tcW w:w="855" w:type="pct"/>
            <w:vAlign w:val="center"/>
          </w:tcPr>
          <w:p w14:paraId="6BA77D59">
            <w:pPr>
              <w:pStyle w:val="150"/>
              <w:rPr>
                <w:sz w:val="20"/>
                <w:szCs w:val="20"/>
              </w:rPr>
            </w:pPr>
            <w:r>
              <w:rPr>
                <w:sz w:val="20"/>
                <w:szCs w:val="20"/>
              </w:rPr>
              <w:t>20</w:t>
            </w:r>
          </w:p>
        </w:tc>
      </w:tr>
      <w:tr w14:paraId="257F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84" w:type="pct"/>
            <w:gridSpan w:val="2"/>
            <w:tcBorders>
              <w:top w:val="double" w:color="auto" w:sz="4" w:space="0"/>
            </w:tcBorders>
            <w:shd w:val="clear" w:color="auto" w:fill="auto"/>
            <w:noWrap/>
            <w:vAlign w:val="center"/>
          </w:tcPr>
          <w:p w14:paraId="493BAAD1">
            <w:pPr>
              <w:pStyle w:val="150"/>
              <w:jc w:val="left"/>
              <w:rPr>
                <w:i/>
                <w:iCs w:val="0"/>
                <w:sz w:val="20"/>
                <w:szCs w:val="20"/>
              </w:rPr>
            </w:pPr>
            <w:r>
              <w:rPr>
                <w:i/>
                <w:iCs w:val="0"/>
                <w:sz w:val="20"/>
                <w:szCs w:val="20"/>
              </w:rPr>
              <w:t>Ukupno</w:t>
            </w:r>
          </w:p>
        </w:tc>
        <w:tc>
          <w:tcPr>
            <w:tcW w:w="861" w:type="pct"/>
            <w:tcBorders>
              <w:top w:val="double" w:color="auto" w:sz="4" w:space="0"/>
            </w:tcBorders>
            <w:vAlign w:val="center"/>
          </w:tcPr>
          <w:p w14:paraId="1114DF75">
            <w:pPr>
              <w:pStyle w:val="150"/>
              <w:rPr>
                <w:sz w:val="20"/>
                <w:szCs w:val="20"/>
              </w:rPr>
            </w:pPr>
            <w:r>
              <w:rPr>
                <w:sz w:val="20"/>
                <w:szCs w:val="20"/>
              </w:rPr>
              <w:t>2.214</w:t>
            </w:r>
          </w:p>
        </w:tc>
        <w:tc>
          <w:tcPr>
            <w:tcW w:w="855" w:type="pct"/>
            <w:tcBorders>
              <w:top w:val="double" w:color="auto" w:sz="4" w:space="0"/>
            </w:tcBorders>
            <w:vAlign w:val="center"/>
          </w:tcPr>
          <w:p w14:paraId="68CD4293">
            <w:pPr>
              <w:pStyle w:val="150"/>
              <w:rPr>
                <w:sz w:val="20"/>
                <w:szCs w:val="20"/>
              </w:rPr>
            </w:pPr>
            <w:r>
              <w:rPr>
                <w:sz w:val="20"/>
                <w:szCs w:val="20"/>
              </w:rPr>
              <w:t>2.070</w:t>
            </w:r>
          </w:p>
        </w:tc>
      </w:tr>
    </w:tbl>
    <w:p w14:paraId="679A6D13">
      <w:r>
        <w:br w:type="page"/>
      </w:r>
    </w:p>
    <w:p w14:paraId="2D9685BA">
      <w:pPr>
        <w:rPr>
          <w:i/>
          <w:iCs/>
        </w:rPr>
      </w:pPr>
      <w:r>
        <w:rPr>
          <w:i/>
          <w:iCs/>
        </w:rPr>
        <w:t>Tablica 9. – Realizirano u razdoblju od 1. 1. do 30. 9. 2024. godine i planirano u 2025. godini – procjena rizika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1573"/>
        <w:gridCol w:w="1766"/>
      </w:tblGrid>
      <w:tr w14:paraId="1364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949" w:type="dxa"/>
            <w:tcBorders>
              <w:bottom w:val="double" w:color="auto" w:sz="4" w:space="0"/>
            </w:tcBorders>
            <w:vAlign w:val="center"/>
          </w:tcPr>
          <w:p w14:paraId="0294F1B0">
            <w:pPr>
              <w:pStyle w:val="150"/>
              <w:jc w:val="left"/>
              <w:rPr>
                <w:i/>
                <w:iCs w:val="0"/>
              </w:rPr>
            </w:pPr>
            <w:r>
              <w:rPr>
                <w:i/>
                <w:iCs w:val="0"/>
              </w:rPr>
              <w:t>Aktivnost</w:t>
            </w:r>
          </w:p>
        </w:tc>
        <w:tc>
          <w:tcPr>
            <w:tcW w:w="1573" w:type="dxa"/>
            <w:tcBorders>
              <w:bottom w:val="double" w:color="auto" w:sz="4" w:space="0"/>
            </w:tcBorders>
            <w:vAlign w:val="center"/>
          </w:tcPr>
          <w:p w14:paraId="27089A7F">
            <w:pPr>
              <w:pStyle w:val="150"/>
              <w:rPr>
                <w:i/>
                <w:iCs w:val="0"/>
              </w:rPr>
            </w:pPr>
            <w:r>
              <w:rPr>
                <w:i/>
                <w:iCs w:val="0"/>
              </w:rPr>
              <w:t>Realizirano do 30. 9. 2024.</w:t>
            </w:r>
          </w:p>
        </w:tc>
        <w:tc>
          <w:tcPr>
            <w:tcW w:w="0" w:type="auto"/>
            <w:tcBorders>
              <w:bottom w:val="double" w:color="auto" w:sz="4" w:space="0"/>
            </w:tcBorders>
            <w:vAlign w:val="center"/>
          </w:tcPr>
          <w:p w14:paraId="101BBE67">
            <w:pPr>
              <w:pStyle w:val="150"/>
              <w:rPr>
                <w:i/>
                <w:iCs w:val="0"/>
              </w:rPr>
            </w:pPr>
            <w:r>
              <w:rPr>
                <w:i/>
                <w:iCs w:val="0"/>
              </w:rPr>
              <w:t>Planirano u 2025. g.</w:t>
            </w:r>
          </w:p>
        </w:tc>
      </w:tr>
      <w:tr w14:paraId="448D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949" w:type="dxa"/>
            <w:tcBorders>
              <w:top w:val="double" w:color="auto" w:sz="4" w:space="0"/>
              <w:bottom w:val="single" w:color="auto" w:sz="4" w:space="0"/>
            </w:tcBorders>
            <w:vAlign w:val="center"/>
          </w:tcPr>
          <w:p w14:paraId="04EEE5F4">
            <w:pPr>
              <w:pStyle w:val="150"/>
              <w:jc w:val="left"/>
            </w:pPr>
            <w:r>
              <w:t>Specijalistička i stručna mišljenja</w:t>
            </w:r>
          </w:p>
        </w:tc>
        <w:tc>
          <w:tcPr>
            <w:tcW w:w="1573" w:type="dxa"/>
            <w:tcBorders>
              <w:top w:val="double" w:color="auto" w:sz="4" w:space="0"/>
              <w:bottom w:val="single" w:color="auto" w:sz="4" w:space="0"/>
            </w:tcBorders>
            <w:vAlign w:val="center"/>
          </w:tcPr>
          <w:p w14:paraId="5BF87185">
            <w:pPr>
              <w:pStyle w:val="150"/>
            </w:pPr>
            <w:r>
              <w:t>28</w:t>
            </w:r>
          </w:p>
        </w:tc>
        <w:tc>
          <w:tcPr>
            <w:tcW w:w="0" w:type="auto"/>
            <w:tcBorders>
              <w:top w:val="double" w:color="auto" w:sz="4" w:space="0"/>
              <w:bottom w:val="single" w:color="auto" w:sz="4" w:space="0"/>
            </w:tcBorders>
            <w:vAlign w:val="center"/>
          </w:tcPr>
          <w:p w14:paraId="6527D7C7">
            <w:pPr>
              <w:pStyle w:val="150"/>
            </w:pPr>
            <w:r>
              <w:t>35</w:t>
            </w:r>
          </w:p>
        </w:tc>
      </w:tr>
      <w:tr w14:paraId="32F0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949" w:type="dxa"/>
            <w:tcBorders>
              <w:top w:val="single" w:color="auto" w:sz="4" w:space="0"/>
            </w:tcBorders>
            <w:vAlign w:val="center"/>
          </w:tcPr>
          <w:p w14:paraId="0EF1EB75">
            <w:pPr>
              <w:pStyle w:val="150"/>
              <w:jc w:val="left"/>
            </w:pPr>
            <w:r>
              <w:t>Upravljanje procesima procjene zdravstvenih rizika</w:t>
            </w:r>
          </w:p>
        </w:tc>
        <w:tc>
          <w:tcPr>
            <w:tcW w:w="1573" w:type="dxa"/>
            <w:tcBorders>
              <w:top w:val="single" w:color="auto" w:sz="4" w:space="0"/>
            </w:tcBorders>
            <w:vAlign w:val="center"/>
          </w:tcPr>
          <w:p w14:paraId="71E29C7A">
            <w:pPr>
              <w:pStyle w:val="150"/>
            </w:pPr>
            <w:r>
              <w:t>159</w:t>
            </w:r>
          </w:p>
        </w:tc>
        <w:tc>
          <w:tcPr>
            <w:tcW w:w="0" w:type="auto"/>
            <w:tcBorders>
              <w:top w:val="single" w:color="auto" w:sz="4" w:space="0"/>
            </w:tcBorders>
            <w:vAlign w:val="center"/>
          </w:tcPr>
          <w:p w14:paraId="1D99DE45">
            <w:pPr>
              <w:pStyle w:val="150"/>
            </w:pPr>
            <w:r>
              <w:t>170</w:t>
            </w:r>
          </w:p>
        </w:tc>
      </w:tr>
      <w:tr w14:paraId="1C27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949" w:type="dxa"/>
            <w:vAlign w:val="center"/>
          </w:tcPr>
          <w:p w14:paraId="5B8B5E4C">
            <w:pPr>
              <w:pStyle w:val="150"/>
              <w:jc w:val="left"/>
              <w:rPr>
                <w:spacing w:val="-6"/>
              </w:rPr>
            </w:pPr>
            <w:r>
              <w:rPr>
                <w:spacing w:val="-6"/>
              </w:rPr>
              <w:t>Stručne i znanstvene vanzavodske aktivnosti i projektne aktivnosti</w:t>
            </w:r>
          </w:p>
        </w:tc>
        <w:tc>
          <w:tcPr>
            <w:tcW w:w="1573" w:type="dxa"/>
            <w:vAlign w:val="center"/>
          </w:tcPr>
          <w:p w14:paraId="0CAD79C8">
            <w:pPr>
              <w:pStyle w:val="150"/>
            </w:pPr>
            <w:r>
              <w:t>203</w:t>
            </w:r>
          </w:p>
        </w:tc>
        <w:tc>
          <w:tcPr>
            <w:tcW w:w="0" w:type="auto"/>
            <w:vAlign w:val="center"/>
          </w:tcPr>
          <w:p w14:paraId="76259DE8">
            <w:pPr>
              <w:pStyle w:val="150"/>
            </w:pPr>
            <w:r>
              <w:t>200</w:t>
            </w:r>
          </w:p>
        </w:tc>
      </w:tr>
      <w:tr w14:paraId="61C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949" w:type="dxa"/>
            <w:vAlign w:val="center"/>
          </w:tcPr>
          <w:p w14:paraId="3DE06159">
            <w:pPr>
              <w:pStyle w:val="150"/>
              <w:jc w:val="left"/>
              <w:rPr>
                <w:spacing w:val="-6"/>
              </w:rPr>
            </w:pPr>
            <w:r>
              <w:rPr>
                <w:spacing w:val="-6"/>
              </w:rPr>
              <w:t>Odnosi s javnošću – pisani odgovori na upite građana/korisnika usluga, komunikacija (s medijima i javna – mrežna stranica i dr.)</w:t>
            </w:r>
          </w:p>
        </w:tc>
        <w:tc>
          <w:tcPr>
            <w:tcW w:w="1573" w:type="dxa"/>
            <w:vAlign w:val="center"/>
          </w:tcPr>
          <w:p w14:paraId="6403586A">
            <w:pPr>
              <w:pStyle w:val="150"/>
            </w:pPr>
            <w:r>
              <w:t>24</w:t>
            </w:r>
          </w:p>
        </w:tc>
        <w:tc>
          <w:tcPr>
            <w:tcW w:w="0" w:type="auto"/>
            <w:vAlign w:val="center"/>
          </w:tcPr>
          <w:p w14:paraId="6F63C67A">
            <w:pPr>
              <w:pStyle w:val="150"/>
            </w:pPr>
            <w:r>
              <w:t>30</w:t>
            </w:r>
          </w:p>
        </w:tc>
      </w:tr>
      <w:tr w14:paraId="534A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949" w:type="dxa"/>
            <w:vAlign w:val="center"/>
          </w:tcPr>
          <w:p w14:paraId="7139F54A">
            <w:pPr>
              <w:pStyle w:val="150"/>
              <w:jc w:val="left"/>
            </w:pPr>
            <w:r>
              <w:t>Projekt kontrola kvalitete OKK – Evaluacija i izdavanja oznake</w:t>
            </w:r>
          </w:p>
        </w:tc>
        <w:tc>
          <w:tcPr>
            <w:tcW w:w="1573" w:type="dxa"/>
            <w:vAlign w:val="center"/>
          </w:tcPr>
          <w:p w14:paraId="57841A68">
            <w:pPr>
              <w:pStyle w:val="150"/>
            </w:pPr>
            <w:r>
              <w:t>30</w:t>
            </w:r>
          </w:p>
        </w:tc>
        <w:tc>
          <w:tcPr>
            <w:tcW w:w="0" w:type="auto"/>
            <w:vAlign w:val="center"/>
          </w:tcPr>
          <w:p w14:paraId="01F5F1CF">
            <w:pPr>
              <w:pStyle w:val="150"/>
            </w:pPr>
            <w:r>
              <w:t>20</w:t>
            </w:r>
          </w:p>
        </w:tc>
      </w:tr>
    </w:tbl>
    <w:p w14:paraId="637F6E19">
      <w:pPr>
        <w:spacing w:before="240"/>
        <w:rPr>
          <w:i/>
          <w:iCs/>
          <w:sz w:val="24"/>
          <w:szCs w:val="20"/>
        </w:rPr>
      </w:pPr>
      <w:r>
        <w:rPr>
          <w:i/>
          <w:iCs/>
          <w:sz w:val="24"/>
          <w:szCs w:val="20"/>
        </w:rPr>
        <w:t>Napomena: Plan realizacije usluga kontrolirane kvalitete reduciran je u skladu s 2-godišnjim ciklusom trajnosti postojećih odobrenja i planom reevaluacija.</w:t>
      </w:r>
    </w:p>
    <w:p w14:paraId="3F3BD77E"/>
    <w:p w14:paraId="2DFBD7C0">
      <w:pPr>
        <w:rPr>
          <w:bCs/>
          <w:i/>
          <w:iCs/>
        </w:rPr>
      </w:pPr>
      <w:r>
        <w:rPr>
          <w:bCs/>
          <w:i/>
          <w:iCs/>
        </w:rPr>
        <w:t>Centar za sigurnost i kvalitetu hrane</w:t>
      </w:r>
    </w:p>
    <w:p w14:paraId="3190B319">
      <w:pPr>
        <w:rPr>
          <w:bCs/>
        </w:rPr>
      </w:pPr>
      <w:r>
        <w:rPr>
          <w:bCs/>
        </w:rPr>
        <w:t>Centar sudjeluje u uvođenju novih analitičkih metoda i obrađuje uzorke za znanstvena istraživanja u cilju promicanja i veće vidljivosti analitičkih mogućnosti Zavoda u provođenju složenijih analiza te dobivanju pouzdanih i točnih rezultata potrebnih za znanstvene studije i nove suradnje u široj znanstvenoj zajednici. U Centru se prati i potiče publiciranje znanstvenih publikacija i promovira rad Centra i Službe za zdravstvenu ekologiju. Centar daje podršku i koordinira provođenje sljedećih projekata koji se provode u suradnji s ostalim znanstvenim institucijama te planira prijavu novih projekata iz opsega rada Centra i Službe.</w:t>
      </w:r>
    </w:p>
    <w:p w14:paraId="17339176">
      <w:pPr>
        <w:pStyle w:val="52"/>
        <w:numPr>
          <w:ilvl w:val="0"/>
          <w:numId w:val="28"/>
        </w:numPr>
        <w:rPr>
          <w:bCs/>
        </w:rPr>
      </w:pPr>
      <w:r>
        <w:rPr>
          <w:bCs/>
        </w:rPr>
        <w:t xml:space="preserve">Projekt (IP-2020-02-7585) </w:t>
      </w:r>
      <w:r>
        <w:rPr>
          <w:bCs/>
          <w:i/>
          <w:iCs/>
        </w:rPr>
        <w:t>Indirektni utjecaj globalnog zagrijavanja na fiziološke parametre sisavaca prehranom biljkama uzgojenim pri visokoj temperaturi – TEMPHYS</w:t>
      </w:r>
      <w:r>
        <w:rPr>
          <w:bCs/>
        </w:rPr>
        <w:t>. Voditeljica projekta: doc. dr. sc. Ivana Šola. Suradnica Ana Tot će sudjelovati s 10% vremena. Provodi se u suradnji s PMF-om. Trajanje projekta: 15. 2. 2021. – 14. 2. 2025. Sredstva: 1.346.995,90 HRK.</w:t>
      </w:r>
    </w:p>
    <w:p w14:paraId="30602B5E">
      <w:pPr>
        <w:pStyle w:val="52"/>
        <w:numPr>
          <w:ilvl w:val="0"/>
          <w:numId w:val="28"/>
        </w:numPr>
        <w:rPr>
          <w:bCs/>
        </w:rPr>
      </w:pPr>
      <w:r>
        <w:rPr>
          <w:bCs/>
        </w:rPr>
        <w:t xml:space="preserve">Projekt (IP-2020-02-) </w:t>
      </w:r>
      <w:r>
        <w:rPr>
          <w:bCs/>
          <w:i/>
          <w:iCs/>
        </w:rPr>
        <w:t>Integrirana procjena odgovora akvatičkih organizama na izloženost metalima: ekspresija gena, bioraspoloživost, toksičnost i biomarkerski odgovori</w:t>
      </w:r>
      <w:r>
        <w:rPr>
          <w:bCs/>
        </w:rPr>
        <w:t xml:space="preserve"> (BIOTOXMET). Voditeljica projekta: dr. sc. Vlatka Filipović Marijić. Suradnica Želimira Cvetković će sudjelovati s 10% radnog vremena. Provodi se u suradnji s IRB-om. Trajanje projekta: 28. 12. 2020. – 27. 12. 2024. Sredstva: 1.222.500 HRK.</w:t>
      </w:r>
    </w:p>
    <w:p w14:paraId="746C8445">
      <w:pPr>
        <w:pStyle w:val="52"/>
        <w:numPr>
          <w:ilvl w:val="0"/>
          <w:numId w:val="28"/>
        </w:numPr>
        <w:rPr>
          <w:bCs/>
          <w:spacing w:val="-6"/>
        </w:rPr>
      </w:pPr>
      <w:r>
        <w:rPr>
          <w:bCs/>
          <w:spacing w:val="-6"/>
        </w:rPr>
        <w:t xml:space="preserve">2023. – 2026. godina CE0100042 </w:t>
      </w:r>
      <w:r>
        <w:rPr>
          <w:bCs/>
          <w:i/>
          <w:iCs/>
          <w:spacing w:val="-6"/>
        </w:rPr>
        <w:t>GreenScape project, Interreg Central Europe programme 2.2: Increasing the resilience to climate change risks in central Europe</w:t>
      </w:r>
      <w:r>
        <w:rPr>
          <w:bCs/>
          <w:spacing w:val="-6"/>
        </w:rPr>
        <w:t>, 12 partnera iz šest država, koordinator za komunikaciju unutar Zavoda je Adela Krivohlavek.</w:t>
      </w:r>
    </w:p>
    <w:p w14:paraId="021B4414">
      <w:pPr>
        <w:pStyle w:val="52"/>
        <w:numPr>
          <w:ilvl w:val="0"/>
          <w:numId w:val="28"/>
        </w:numPr>
        <w:rPr>
          <w:bCs/>
        </w:rPr>
      </w:pPr>
      <w:r>
        <w:rPr>
          <w:bCs/>
        </w:rPr>
        <w:t xml:space="preserve">IP-2022-10 HRZZ </w:t>
      </w:r>
      <w:r>
        <w:rPr>
          <w:bCs/>
          <w:i/>
          <w:iCs/>
        </w:rPr>
        <w:t>Kemijska sudbina zabrinjavajućih farmaceutika u okolišu: eksperimentalno i računalno istraživanje produkata razgradnje i njihovih ekotoksikoloških svojstava</w:t>
      </w:r>
      <w:r>
        <w:rPr>
          <w:bCs/>
        </w:rPr>
        <w:t>, četiri godine, 1.227.500,00 kn, voditelj: prof. dr. sc. Valerije Vrček, FBF, suradnik: mr. sc. Lea Ulm, 2023. – 2027.</w:t>
      </w:r>
    </w:p>
    <w:p w14:paraId="6B0F743A">
      <w:pPr>
        <w:pStyle w:val="52"/>
        <w:numPr>
          <w:ilvl w:val="0"/>
          <w:numId w:val="28"/>
        </w:numPr>
        <w:rPr>
          <w:bCs/>
        </w:rPr>
      </w:pPr>
      <w:r>
        <w:rPr>
          <w:bCs/>
        </w:rPr>
        <w:t xml:space="preserve">IP-2022-10 HRZZ </w:t>
      </w:r>
      <w:r>
        <w:rPr>
          <w:bCs/>
          <w:i/>
          <w:iCs/>
        </w:rPr>
        <w:t>Pelud u Jadranskom moru: dinamika unosa, kemijska karakterizacija i učinci na primarnu produkciju</w:t>
      </w:r>
      <w:r>
        <w:rPr>
          <w:bCs/>
        </w:rPr>
        <w:t xml:space="preserve"> (POLLMAR), voditelj projekta: dr. sc. Slađana Strmečki Kos, IRB, četiri godine, 990.00,00 kn (s PDV-om), suradnik: dr. sc. Ivana Hrga, 2023. – 2027.</w:t>
      </w:r>
    </w:p>
    <w:p w14:paraId="4AEAC16B">
      <w:pPr>
        <w:pStyle w:val="52"/>
        <w:numPr>
          <w:ilvl w:val="0"/>
          <w:numId w:val="28"/>
        </w:numPr>
        <w:rPr>
          <w:bCs/>
        </w:rPr>
      </w:pPr>
      <w:r>
        <w:rPr>
          <w:bCs/>
        </w:rPr>
        <w:t xml:space="preserve">IP-2022-10 HRZZ, </w:t>
      </w:r>
      <w:r>
        <w:rPr>
          <w:bCs/>
          <w:i/>
          <w:iCs/>
        </w:rPr>
        <w:t>Okolišni aspekti SARS-CoV-2 antivirotika</w:t>
      </w:r>
      <w:r>
        <w:rPr>
          <w:bCs/>
        </w:rPr>
        <w:t xml:space="preserve"> (EnA-SARS), voditelj projekta: izv. prof. dr. sc. Šime Ukić, FKIT, četiri godine, 1.256.001,15 kn, suradnik: dr. sc. Želimira Cvetković, 2023. – 2027.</w:t>
      </w:r>
    </w:p>
    <w:p w14:paraId="2B0B0974">
      <w:pPr>
        <w:pStyle w:val="52"/>
        <w:numPr>
          <w:ilvl w:val="0"/>
          <w:numId w:val="28"/>
        </w:numPr>
        <w:rPr>
          <w:bCs/>
        </w:rPr>
      </w:pPr>
      <w:r>
        <w:rPr>
          <w:bCs/>
        </w:rPr>
        <w:t xml:space="preserve">IP-2022-10-3824 HRZZ </w:t>
      </w:r>
      <w:r>
        <w:rPr>
          <w:bCs/>
          <w:i/>
          <w:iCs/>
        </w:rPr>
        <w:t>Interaktivni učinci mikroplastike i nanosrebra na kopnene i vodene biljke i alge</w:t>
      </w:r>
      <w:r>
        <w:rPr>
          <w:bCs/>
        </w:rPr>
        <w:t xml:space="preserve"> (MINION), voditelj projekta: prof.dr.sc. Biljana Balen, PMF, četiri godine, 1.484.999,57 kn, suradnik: dr. sc. Sandra Šikić, 2023. – 2027.</w:t>
      </w:r>
    </w:p>
    <w:p w14:paraId="617669FA">
      <w:pPr>
        <w:pStyle w:val="52"/>
        <w:numPr>
          <w:ilvl w:val="0"/>
          <w:numId w:val="28"/>
        </w:numPr>
        <w:rPr>
          <w:bCs/>
        </w:rPr>
      </w:pPr>
      <w:r>
        <w:rPr>
          <w:bCs/>
          <w:i/>
          <w:iCs/>
        </w:rPr>
        <w:t>HRZZ projekt o geografskom porijeklu krumpira i ekološkom/konvencionalnom uzgoju</w:t>
      </w:r>
      <w:r>
        <w:rPr>
          <w:bCs/>
        </w:rPr>
        <w:t>, trajat će tri godine, u njega je uključeno pet zaposlenica Zavoda: Martina Ivešić, Magdalena Gavran, Maja Budeč, Ivana Mandić Andačić i Adela Krivohlavek. Vrijednost projekta: 200.000 EUR, po svakom partneru trećina, sudjeluju AF, PBF i NZJZ, voditelj projekta: Milan Poljak, provedba 1. 12. 2024. – 30. 11. 2027.</w:t>
      </w:r>
    </w:p>
    <w:p w14:paraId="20D61FA9"/>
    <w:p w14:paraId="66EB01AB">
      <w:r>
        <w:br w:type="page"/>
      </w:r>
    </w:p>
    <w:p w14:paraId="684F34C4"/>
    <w:p w14:paraId="7CAD672D">
      <w:pPr>
        <w:pStyle w:val="2"/>
      </w:pPr>
      <w:bookmarkStart w:id="16" w:name="_Toc184821163"/>
      <w:bookmarkStart w:id="17" w:name="_Toc473726690"/>
      <w:bookmarkStart w:id="18" w:name="_Toc84862494"/>
      <w:r>
        <w:t>5. Služba za javno zdravstvo</w:t>
      </w:r>
      <w:bookmarkEnd w:id="16"/>
      <w:bookmarkEnd w:id="17"/>
      <w:bookmarkEnd w:id="18"/>
    </w:p>
    <w:p w14:paraId="235C1685"/>
    <w:p w14:paraId="77F3E0F5">
      <w:pPr>
        <w:pStyle w:val="147"/>
      </w:pPr>
      <w:r>
        <w:t>SAŽETAK DJELOKRUGA RADA</w:t>
      </w:r>
    </w:p>
    <w:p w14:paraId="620A1927">
      <w:r>
        <w:t>U Službi se provode mjere zdravstvene zaštite iz područja javnog zdravstva.</w:t>
      </w:r>
    </w:p>
    <w:p w14:paraId="3873DAA4">
      <w:r>
        <w:t>Sadržaj rada Službe: ocjena zdravstvenog stanja populacije, izrada zdravstvenih pokazatelja, ocjena zdravstvenih potreba, utvrđivanje javnozdravstvenih problema i odabir prioriteta za intervencije, izrada plana i programa mjera zdravstvene zaštite, izrada i praćenje pokazatelja kvalitete rada u zdravstvenoj zaštiti, provođenje mjera preventivne zdravstvene zaštite, poglavito primarne prevencije, provođenje zdravstvene edukacije populacije.</w:t>
      </w:r>
    </w:p>
    <w:p w14:paraId="4F978784">
      <w:r>
        <w:rPr>
          <w:bCs/>
        </w:rPr>
        <w:t>Aktivnosti Službe mogu se grupirati u dva područja: procjena zdravstvenog stanja i potreba stanovništva te javnozdravstvene intervencije koje uključuju promicanje zdravlja i prevenciju bolesti.</w:t>
      </w:r>
    </w:p>
    <w:p w14:paraId="0336A6CD">
      <w:r>
        <w:t>Očuvanje i unapređenje zdravlja u zajednici, a uz smanjenu izloženost čimbenicima rizika, vodeći je javnozdravstveni cilj. Ocjena zdravstvenog stanja i potreba stanovništva te izbor prioritetnih javnozdravstvenih problema, temelj su za planiranje i provođenje budućih javnozdravstvenih akcija.</w:t>
      </w:r>
    </w:p>
    <w:p w14:paraId="62A9C3C3">
      <w:pPr>
        <w:rPr>
          <w:spacing w:val="-8"/>
        </w:rPr>
      </w:pPr>
      <w:r>
        <w:rPr>
          <w:spacing w:val="-8"/>
        </w:rPr>
        <w:t>U Službi su financirana četiri javnozdravstvena tima od strane HZZO-a. U sastavu tima je liječnik specijalist i viša medicinska sestra, što je ukupno osam djelatnika/ca (od ukupno 13 zaposlenih).</w:t>
      </w:r>
    </w:p>
    <w:p w14:paraId="25C80003">
      <w:r>
        <w:t>Služba je financirana i kroz javnozdravstvene programe, a ostvaruje i vlastiti prihod obavljanjem poslova na tržištu u tržišnim uvjetima (pretraga intolerancije na hranu).</w:t>
      </w:r>
    </w:p>
    <w:p w14:paraId="4B63E7A6">
      <w:r>
        <w:br w:type="page"/>
      </w:r>
    </w:p>
    <w:p w14:paraId="72411217">
      <w:pPr>
        <w:pStyle w:val="147"/>
      </w:pPr>
      <w:r>
        <w:t>OBRAZLOŽENJE PROGRAMA</w:t>
      </w:r>
    </w:p>
    <w:p w14:paraId="1AEEB493"/>
    <w:p w14:paraId="455FFE0E">
      <w:pPr>
        <w:rPr>
          <w:b/>
          <w:bCs/>
        </w:rPr>
      </w:pPr>
      <w:r>
        <w:rPr>
          <w:i/>
          <w:iCs/>
        </w:rPr>
        <w:t>Ocjena zdravstvenih potreba i prioriteta</w:t>
      </w:r>
    </w:p>
    <w:p w14:paraId="0EA2491D">
      <w:r>
        <w:t>Plan aktivnosti:</w:t>
      </w:r>
    </w:p>
    <w:p w14:paraId="02DB91D7">
      <w:pPr>
        <w:numPr>
          <w:ilvl w:val="0"/>
          <w:numId w:val="29"/>
        </w:numPr>
      </w:pPr>
      <w:r>
        <w:t>analiza demografskih kretanja i mortaliteta u Gradu Zagrebu</w:t>
      </w:r>
    </w:p>
    <w:p w14:paraId="3C769057">
      <w:pPr>
        <w:numPr>
          <w:ilvl w:val="0"/>
          <w:numId w:val="29"/>
        </w:numPr>
        <w:rPr>
          <w:spacing w:val="-4"/>
        </w:rPr>
      </w:pPr>
      <w:r>
        <w:rPr>
          <w:spacing w:val="-4"/>
        </w:rPr>
        <w:t>izrada i praćenje pokazatelja kvalitete rada u primarnoj zdravstvenoj zaštiti (pokazatelji, kadrovska struktura, posjete i pregledi, morbiditetna lista, preventivni pregledi itd.)</w:t>
      </w:r>
    </w:p>
    <w:p w14:paraId="2B8C2C08">
      <w:pPr>
        <w:numPr>
          <w:ilvl w:val="0"/>
          <w:numId w:val="29"/>
        </w:numPr>
      </w:pPr>
      <w:r>
        <w:t>izrada pokazatelja i analiza rada specijalističko-konzilijarne djelatnosti</w:t>
      </w:r>
    </w:p>
    <w:p w14:paraId="3B81F1E5">
      <w:pPr>
        <w:numPr>
          <w:ilvl w:val="0"/>
          <w:numId w:val="29"/>
        </w:numPr>
      </w:pPr>
      <w:r>
        <w:t xml:space="preserve">izrada i praćenje pokazatelja rada u kliničkim bolničkim centrima, kliničkim bolnicama, specijalnim bolnicama (pokazatelji: kadrovska struktura, godišnja zauzetost kreveta, dani bolničkog liječenja, prosječna duljina liječenja, iskorištenost krevetnih kapaciteta, liječenje </w:t>
      </w:r>
      <w:r>
        <w:rPr>
          <w:i/>
          <w:iCs/>
        </w:rPr>
        <w:t>akutnih</w:t>
      </w:r>
      <w:r>
        <w:t xml:space="preserve"> i </w:t>
      </w:r>
      <w:r>
        <w:rPr>
          <w:i/>
          <w:iCs/>
        </w:rPr>
        <w:t>kroničnih</w:t>
      </w:r>
      <w:r>
        <w:t xml:space="preserve"> bolesnika, prebivalište – gravitacija, mortalitet, morbiditet itd.)</w:t>
      </w:r>
    </w:p>
    <w:p w14:paraId="0329A082">
      <w:pPr>
        <w:numPr>
          <w:ilvl w:val="0"/>
          <w:numId w:val="29"/>
        </w:numPr>
      </w:pPr>
      <w:r>
        <w:t>priprema indikatora zdravstvenog stanja</w:t>
      </w:r>
    </w:p>
    <w:p w14:paraId="6EFF452F">
      <w:pPr>
        <w:numPr>
          <w:ilvl w:val="0"/>
          <w:numId w:val="29"/>
        </w:numPr>
        <w:rPr>
          <w:spacing w:val="-12"/>
        </w:rPr>
      </w:pPr>
      <w:r>
        <w:rPr>
          <w:spacing w:val="-12"/>
        </w:rPr>
        <w:t>definiranje javnozdravstvenih prioriteta na temelju analize zdravstveno-statističkih pokazatelja</w:t>
      </w:r>
    </w:p>
    <w:p w14:paraId="520E117D">
      <w:pPr>
        <w:numPr>
          <w:ilvl w:val="0"/>
          <w:numId w:val="29"/>
        </w:numPr>
      </w:pPr>
      <w:r>
        <w:t xml:space="preserve">sastavljanje i publiciranje </w:t>
      </w:r>
      <w:r>
        <w:rPr>
          <w:i/>
          <w:iCs/>
        </w:rPr>
        <w:t>Zdravstveno-statističkog ljetopisa Grada Zagreba</w:t>
      </w:r>
      <w:r>
        <w:rPr>
          <w:b/>
          <w:bCs/>
        </w:rPr>
        <w:t xml:space="preserve"> </w:t>
      </w:r>
      <w:r>
        <w:rPr>
          <w:bCs/>
        </w:rPr>
        <w:t xml:space="preserve">za tekuću godinu u kojem se </w:t>
      </w:r>
      <w:r>
        <w:t>na temelju prikupljenih pokazatelja, uz analizu zdravstvenog stanja pučanstva u Gradu Zagrebu utvrđuju prioritetni zdravstveni problemi građana što omogućava planiranje ciljanih javnozdravstvenih programa i akcija.</w:t>
      </w:r>
    </w:p>
    <w:p w14:paraId="7426F8F5"/>
    <w:p w14:paraId="00C1CB18">
      <w:pPr>
        <w:rPr>
          <w:b/>
        </w:rPr>
      </w:pPr>
      <w:r>
        <w:rPr>
          <w:bCs/>
          <w:i/>
          <w:iCs/>
        </w:rPr>
        <w:t>Promicanje zdravlja</w:t>
      </w:r>
    </w:p>
    <w:p w14:paraId="259913AA">
      <w:r>
        <w:t>Plan aktivnosti:</w:t>
      </w:r>
    </w:p>
    <w:p w14:paraId="7C942038">
      <w:pPr>
        <w:numPr>
          <w:ilvl w:val="0"/>
          <w:numId w:val="30"/>
        </w:numPr>
      </w:pPr>
      <w:r>
        <w:t>izrada programa zdravstvenog prosvjećivanja i promicanja zdravlja na temelju definiranih javnozdravstvenih prioriteta</w:t>
      </w:r>
    </w:p>
    <w:p w14:paraId="59A50A47">
      <w:pPr>
        <w:numPr>
          <w:ilvl w:val="0"/>
          <w:numId w:val="30"/>
        </w:numPr>
      </w:pPr>
      <w:r>
        <w:t xml:space="preserve">organizacija i provedba </w:t>
      </w:r>
      <w:bookmarkStart w:id="19" w:name="_Hlk152232497"/>
      <w:r>
        <w:t>radionica iz područja promicanja zdravlja</w:t>
      </w:r>
      <w:bookmarkEnd w:id="19"/>
    </w:p>
    <w:p w14:paraId="2B8826AD">
      <w:pPr>
        <w:numPr>
          <w:ilvl w:val="0"/>
          <w:numId w:val="30"/>
        </w:numPr>
      </w:pPr>
      <w:r>
        <w:t>organizacija okruglih stolova, stručnih skupova, simpozija, konferencija) iz područja promicanja zdravlja</w:t>
      </w:r>
    </w:p>
    <w:p w14:paraId="21408F5E">
      <w:pPr>
        <w:numPr>
          <w:ilvl w:val="0"/>
          <w:numId w:val="30"/>
        </w:numPr>
      </w:pPr>
      <w:r>
        <w:t>izrada edukativnih i promotivnih materijala</w:t>
      </w:r>
    </w:p>
    <w:p w14:paraId="44C8DECB">
      <w:pPr>
        <w:numPr>
          <w:ilvl w:val="0"/>
          <w:numId w:val="30"/>
        </w:numPr>
      </w:pPr>
      <w:r>
        <w:t xml:space="preserve">sastavljanje stručnih tekstova </w:t>
      </w:r>
    </w:p>
    <w:p w14:paraId="6917DCD2">
      <w:pPr>
        <w:numPr>
          <w:ilvl w:val="0"/>
          <w:numId w:val="30"/>
        </w:numPr>
      </w:pPr>
      <w:r>
        <w:t xml:space="preserve">sastavljanje e-časopisa </w:t>
      </w:r>
      <w:r>
        <w:rPr>
          <w:i/>
          <w:iCs/>
        </w:rPr>
        <w:t>Zdravlje za sve</w:t>
      </w:r>
    </w:p>
    <w:p w14:paraId="537F64A4">
      <w:pPr>
        <w:numPr>
          <w:ilvl w:val="0"/>
          <w:numId w:val="30"/>
        </w:numPr>
      </w:pPr>
      <w:r>
        <w:t>suradnja s medijima u području promicanja zdravlja</w:t>
      </w:r>
    </w:p>
    <w:p w14:paraId="5944C72F">
      <w:pPr>
        <w:numPr>
          <w:ilvl w:val="0"/>
          <w:numId w:val="30"/>
        </w:numPr>
      </w:pPr>
      <w:r>
        <w:t>provođenje javnozdravstvenih akcija/edukacija opće populacije iz područja promicanja zdravlja</w:t>
      </w:r>
    </w:p>
    <w:p w14:paraId="7087CB40">
      <w:pPr>
        <w:numPr>
          <w:ilvl w:val="0"/>
          <w:numId w:val="30"/>
        </w:numPr>
      </w:pPr>
      <w:r>
        <w:t xml:space="preserve">organizacija i provođenje </w:t>
      </w:r>
      <w:bookmarkStart w:id="20" w:name="_Hlk26866139"/>
      <w:r>
        <w:t xml:space="preserve">senzibilizacijskih i edukativnih radionica </w:t>
      </w:r>
      <w:bookmarkEnd w:id="20"/>
      <w:r>
        <w:t>budućih zdravstvenih djelatnika o komunikaciji s osobama s invaliditetom</w:t>
      </w:r>
    </w:p>
    <w:p w14:paraId="409F4278">
      <w:pPr>
        <w:numPr>
          <w:ilvl w:val="0"/>
          <w:numId w:val="30"/>
        </w:numPr>
      </w:pPr>
      <w:r>
        <w:t>organizacija i provođenje interaktivnih edukativnih radionica za smanjenje i otklanjanje stresa na radnom mjestu, unapređenja komunikacije, poboljšanja psihofizičkog zdravlja radnika</w:t>
      </w:r>
    </w:p>
    <w:p w14:paraId="38C5BA4E">
      <w:pPr>
        <w:numPr>
          <w:ilvl w:val="0"/>
          <w:numId w:val="30"/>
        </w:numPr>
      </w:pPr>
      <w:r>
        <w:t>unapređenje zdravlja pripadnike romske nacionalne manjine provođenjem javnozdravstvenih aktivnosti</w:t>
      </w:r>
      <w:r>
        <w:rPr>
          <w:b/>
        </w:rPr>
        <w:t xml:space="preserve"> </w:t>
      </w:r>
      <w:r>
        <w:t>(edukativne radionice, brošure i leci) s ciljem usvajanja i održavanja zdravih stilova života te postavljanja temelja zdravog reproduktivnog i spolnog života djevojaka i žena</w:t>
      </w:r>
    </w:p>
    <w:p w14:paraId="14890B78">
      <w:pPr>
        <w:numPr>
          <w:ilvl w:val="0"/>
          <w:numId w:val="30"/>
        </w:numPr>
      </w:pPr>
      <w:r>
        <w:t>liječnička savjetovanje iz područja promicanja zdravlja i primarne prevencije</w:t>
      </w:r>
    </w:p>
    <w:p w14:paraId="6889B8DB">
      <w:pPr>
        <w:numPr>
          <w:ilvl w:val="0"/>
          <w:numId w:val="30"/>
        </w:numPr>
      </w:pPr>
      <w:r>
        <w:t>edukacijsko-rehabilitacijska savjetovanja</w:t>
      </w:r>
    </w:p>
    <w:p w14:paraId="0685A798">
      <w:pPr>
        <w:numPr>
          <w:ilvl w:val="0"/>
          <w:numId w:val="30"/>
        </w:numPr>
      </w:pPr>
      <w:r>
        <w:t>savjetovanja osoba s invaliditetom i ostalih rizičnih/osjetljivih skupina</w:t>
      </w:r>
    </w:p>
    <w:p w14:paraId="507B1343">
      <w:pPr>
        <w:numPr>
          <w:ilvl w:val="0"/>
          <w:numId w:val="31"/>
        </w:numPr>
      </w:pPr>
      <w:r>
        <w:t>kineziološka savjetovanja/ savjetovališni rad u području zdravstveno usmjerene tjelesne aktivnosti</w:t>
      </w:r>
    </w:p>
    <w:p w14:paraId="1C9ECF27">
      <w:pPr>
        <w:numPr>
          <w:ilvl w:val="0"/>
          <w:numId w:val="30"/>
        </w:numPr>
      </w:pPr>
      <w:r>
        <w:t>nutricionistička savjetovanja/ savjetovanja o uravnoteženoj prehrani</w:t>
      </w:r>
    </w:p>
    <w:p w14:paraId="137DCE88">
      <w:pPr>
        <w:numPr>
          <w:ilvl w:val="0"/>
          <w:numId w:val="30"/>
        </w:numPr>
      </w:pPr>
      <w:r>
        <w:t>praćenje, obrada i analiza zdravstvenih i socijalnih pokazatelja</w:t>
      </w:r>
    </w:p>
    <w:p w14:paraId="5C68F632">
      <w:pPr>
        <w:numPr>
          <w:ilvl w:val="0"/>
          <w:numId w:val="31"/>
        </w:numPr>
        <w:rPr>
          <w:iCs/>
        </w:rPr>
      </w:pPr>
      <w:bookmarkStart w:id="21" w:name="_Hlk499633396"/>
      <w:r>
        <w:rPr>
          <w:iCs/>
        </w:rPr>
        <w:t>Nacionalni program ranog otkrivanja raka vrata maternice</w:t>
      </w:r>
      <w:bookmarkEnd w:id="21"/>
      <w:r>
        <w:rPr>
          <w:iCs/>
        </w:rPr>
        <w:t xml:space="preserve"> –</w:t>
      </w:r>
      <w:r>
        <w:rPr>
          <w:b/>
          <w:bCs/>
          <w:iCs/>
        </w:rPr>
        <w:t xml:space="preserve"> </w:t>
      </w:r>
      <w:r>
        <w:rPr>
          <w:iCs/>
        </w:rPr>
        <w:t>provedba ovoga Nacionalnog programa trenutno je u fazi reorganizacije.</w:t>
      </w:r>
    </w:p>
    <w:p w14:paraId="7963CF35"/>
    <w:p w14:paraId="67B4AF34">
      <w:r>
        <w:t>Programi započeti i financirani u prethodnoj, 2024. godini:</w:t>
      </w:r>
    </w:p>
    <w:p w14:paraId="19B241EC">
      <w:pPr>
        <w:numPr>
          <w:ilvl w:val="0"/>
          <w:numId w:val="32"/>
        </w:numPr>
        <w:rPr>
          <w:bCs/>
        </w:rPr>
      </w:pPr>
      <w:r>
        <w:rPr>
          <w:i/>
          <w:iCs/>
        </w:rPr>
        <w:t>Zdravstveno-statistički ljetopis Grada Zagreba</w:t>
      </w:r>
      <w:r>
        <w:rPr>
          <w:b/>
          <w:bCs/>
        </w:rPr>
        <w:t xml:space="preserve"> </w:t>
      </w:r>
      <w:r>
        <w:rPr>
          <w:bCs/>
        </w:rPr>
        <w:t>(8.495 EUR)</w:t>
      </w:r>
    </w:p>
    <w:p w14:paraId="6697C104">
      <w:pPr>
        <w:numPr>
          <w:ilvl w:val="0"/>
          <w:numId w:val="32"/>
        </w:numPr>
        <w:rPr>
          <w:bCs/>
        </w:rPr>
      </w:pPr>
      <w:r>
        <w:rPr>
          <w:bCs/>
          <w:i/>
          <w:iCs/>
        </w:rPr>
        <w:t>Smanjenje nejednakosti u zdravlju – unaprjeđenje zdravlja pripadnika romske nacionalne manjine</w:t>
      </w:r>
      <w:r>
        <w:rPr>
          <w:b/>
        </w:rPr>
        <w:t xml:space="preserve"> </w:t>
      </w:r>
      <w:r>
        <w:t>(14.322 EUR)</w:t>
      </w:r>
    </w:p>
    <w:p w14:paraId="66D49ED4">
      <w:pPr>
        <w:numPr>
          <w:ilvl w:val="0"/>
          <w:numId w:val="32"/>
        </w:numPr>
      </w:pPr>
      <w:r>
        <w:rPr>
          <w:i/>
          <w:iCs/>
        </w:rPr>
        <w:t>Savjetovalište za mlade s invaliditetom</w:t>
      </w:r>
      <w:r>
        <w:t xml:space="preserve"> (7.210 EUR)</w:t>
      </w:r>
    </w:p>
    <w:p w14:paraId="7F7979C2">
      <w:pPr>
        <w:pStyle w:val="52"/>
        <w:numPr>
          <w:ilvl w:val="0"/>
          <w:numId w:val="32"/>
        </w:numPr>
        <w:rPr>
          <w:spacing w:val="-10"/>
        </w:rPr>
      </w:pPr>
      <w:r>
        <w:rPr>
          <w:i/>
          <w:iCs/>
          <w:spacing w:val="-10"/>
        </w:rPr>
        <w:t>Podizanje zdravstvene pismenosti građana putem novih audiovizualnih kanala</w:t>
      </w:r>
      <w:r>
        <w:rPr>
          <w:spacing w:val="-10"/>
        </w:rPr>
        <w:t xml:space="preserve"> (16.400 EUR).</w:t>
      </w:r>
    </w:p>
    <w:p w14:paraId="5376E208"/>
    <w:p w14:paraId="3AAF2E60">
      <w:r>
        <w:t>Programi predloženi za financiranje od Grada Zagreba u 2025. godini:</w:t>
      </w:r>
    </w:p>
    <w:p w14:paraId="6D92DB09">
      <w:pPr>
        <w:pStyle w:val="52"/>
        <w:numPr>
          <w:ilvl w:val="0"/>
          <w:numId w:val="33"/>
        </w:numPr>
      </w:pPr>
      <w:r>
        <w:rPr>
          <w:i/>
          <w:iCs/>
        </w:rPr>
        <w:t>Zdravstveno-statistički ljetopis Grada Zagreba</w:t>
      </w:r>
      <w:r>
        <w:t xml:space="preserve"> (8.895 EUR)</w:t>
      </w:r>
    </w:p>
    <w:p w14:paraId="35E9D105">
      <w:pPr>
        <w:pStyle w:val="52"/>
        <w:numPr>
          <w:ilvl w:val="0"/>
          <w:numId w:val="33"/>
        </w:numPr>
      </w:pPr>
      <w:r>
        <w:rPr>
          <w:i/>
          <w:iCs/>
        </w:rPr>
        <w:t>Smanjenje nejednakosti u zdravlju – unaprjeđenje zdravlja pripadnika romske nacionalne manjine</w:t>
      </w:r>
      <w:r>
        <w:t xml:space="preserve"> (17.319,50 EUR)</w:t>
      </w:r>
    </w:p>
    <w:p w14:paraId="66048441">
      <w:pPr>
        <w:pStyle w:val="52"/>
        <w:numPr>
          <w:ilvl w:val="0"/>
          <w:numId w:val="33"/>
        </w:numPr>
      </w:pPr>
      <w:r>
        <w:rPr>
          <w:i/>
          <w:iCs/>
        </w:rPr>
        <w:t>Savjetovalište za mlade s invaliditetom</w:t>
      </w:r>
      <w:r>
        <w:t xml:space="preserve"> (9.823 EUR)</w:t>
      </w:r>
    </w:p>
    <w:p w14:paraId="3D571248">
      <w:pPr>
        <w:pStyle w:val="52"/>
        <w:numPr>
          <w:ilvl w:val="0"/>
          <w:numId w:val="33"/>
        </w:numPr>
        <w:rPr>
          <w:spacing w:val="-6"/>
        </w:rPr>
      </w:pPr>
      <w:r>
        <w:rPr>
          <w:i/>
          <w:iCs/>
          <w:spacing w:val="-6"/>
        </w:rPr>
        <w:t>Usvajanjem pozitivnih navika u svakodnevici do uravnotežene tjelesne težine –  Prevencija prekomjerne tjelesne težine i debljine kroz društvena i životna okruženja</w:t>
      </w:r>
      <w:r>
        <w:rPr>
          <w:spacing w:val="-6"/>
        </w:rPr>
        <w:t xml:space="preserve"> (26.196,50 EUR).</w:t>
      </w:r>
    </w:p>
    <w:p w14:paraId="4F248F5A"/>
    <w:p w14:paraId="19524F37">
      <w:pPr>
        <w:pStyle w:val="147"/>
      </w:pPr>
      <w:r>
        <w:t>ZAKONSKE I DRUGE PRAVNE OSNOVE NA KOJIMA SE ZASNIVAJU PROGRAMI</w:t>
      </w:r>
    </w:p>
    <w:p w14:paraId="05B5B29F">
      <w:pPr>
        <w:numPr>
          <w:ilvl w:val="0"/>
          <w:numId w:val="34"/>
        </w:numPr>
        <w:rPr>
          <w:spacing w:val="-6"/>
        </w:rPr>
      </w:pPr>
      <w:r>
        <w:rPr>
          <w:spacing w:val="-6"/>
        </w:rPr>
        <w:t>Zakon o zdravstvenoj zaštiti (NN 100/18., 125/19., 147/20., 119/22., 156/22. i 33/23.)</w:t>
      </w:r>
    </w:p>
    <w:p w14:paraId="269235BC">
      <w:pPr>
        <w:numPr>
          <w:ilvl w:val="0"/>
          <w:numId w:val="34"/>
        </w:numPr>
      </w:pPr>
      <w:r>
        <w:t>Zakon o izmjenama i dopunama zakona o zdravstvenoj zaštiti (NN 36/24)</w:t>
      </w:r>
    </w:p>
    <w:p w14:paraId="52243B12">
      <w:pPr>
        <w:numPr>
          <w:ilvl w:val="0"/>
          <w:numId w:val="34"/>
        </w:numPr>
      </w:pPr>
      <w:r>
        <w:t>Plan i program mjera zdravstvene zaštite iz obveznog zdravstvenog osiguranja (NN 126/06, 156/08 i 33/23)</w:t>
      </w:r>
    </w:p>
    <w:p w14:paraId="52FB1035">
      <w:pPr>
        <w:numPr>
          <w:ilvl w:val="0"/>
          <w:numId w:val="34"/>
        </w:numPr>
      </w:pPr>
      <w:r>
        <w:t>Odluka o osnovama za sklapanje ugovora o provođenju zdravstvene zaštite iz obveznog zdravstvenog osiguranja (NN 134/23; Ispravak Odluke o izmjenama Odluke, NN 129/24)</w:t>
      </w:r>
    </w:p>
    <w:p w14:paraId="04A9A5F6">
      <w:pPr>
        <w:numPr>
          <w:ilvl w:val="0"/>
          <w:numId w:val="34"/>
        </w:numPr>
      </w:pPr>
      <w:r>
        <w:t>Zakon o službenoj statistici (pročišćeni tekst NN 12/13, NN 25/20)</w:t>
      </w:r>
    </w:p>
    <w:p w14:paraId="7B5086A3">
      <w:pPr>
        <w:numPr>
          <w:ilvl w:val="0"/>
          <w:numId w:val="34"/>
        </w:numPr>
      </w:pPr>
      <w:r>
        <w:t>Upute za ispunjavanje individualnih zdravstveno-statističkih izvješća</w:t>
      </w:r>
    </w:p>
    <w:p w14:paraId="5B4A04DD">
      <w:pPr>
        <w:numPr>
          <w:ilvl w:val="0"/>
          <w:numId w:val="34"/>
        </w:numPr>
      </w:pPr>
      <w:r>
        <w:t>Godišnji provedbeni plan statističkih aktivnosti Republike Hrvatske</w:t>
      </w:r>
    </w:p>
    <w:p w14:paraId="41A9709F">
      <w:pPr>
        <w:numPr>
          <w:ilvl w:val="0"/>
          <w:numId w:val="34"/>
        </w:numPr>
      </w:pPr>
      <w:r>
        <w:t>Zakon o obveznom zdravstvenom osiguranju (NN 80/13, i 137/13, 98/19 i 33/23).</w:t>
      </w:r>
    </w:p>
    <w:p w14:paraId="31D45AE1"/>
    <w:p w14:paraId="58DB2C2D">
      <w:pPr>
        <w:pStyle w:val="147"/>
        <w:jc w:val="left"/>
      </w:pPr>
      <w:r>
        <w:t>USKLAĐENOST CILJEVA, STRATEGIJE PROGRAMA S DOKUMENTIMA DUGOROČNOG RAZVOJA</w:t>
      </w:r>
    </w:p>
    <w:p w14:paraId="6B3A9BE7">
      <w:r>
        <w:t>Navedeni ciljevi i strategije usklađeni su sa sljedećim dokumentima:</w:t>
      </w:r>
    </w:p>
    <w:p w14:paraId="427BD9CA">
      <w:pPr>
        <w:numPr>
          <w:ilvl w:val="0"/>
          <w:numId w:val="35"/>
        </w:numPr>
      </w:pPr>
      <w:r>
        <w:t>Nacionalni plan razvoja zdravstva za razdoblje od 2021. do 2027. godine</w:t>
      </w:r>
    </w:p>
    <w:p w14:paraId="245EF160">
      <w:pPr>
        <w:numPr>
          <w:ilvl w:val="0"/>
          <w:numId w:val="35"/>
        </w:numPr>
        <w:rPr>
          <w:spacing w:val="-4"/>
        </w:rPr>
      </w:pPr>
      <w:r>
        <w:rPr>
          <w:spacing w:val="-4"/>
        </w:rPr>
        <w:t>Nacionalna strategija izjednačavanja mogućnosti za osobe s invaliditetom 2021. – 2027.</w:t>
      </w:r>
    </w:p>
    <w:p w14:paraId="695EC54B">
      <w:pPr>
        <w:numPr>
          <w:ilvl w:val="0"/>
          <w:numId w:val="35"/>
        </w:numPr>
      </w:pPr>
      <w:r>
        <w:t>Nacionalna strategija za uključivanje Roma 2021. – 2027.</w:t>
      </w:r>
      <w:bookmarkStart w:id="22" w:name="_Hlk121842083"/>
    </w:p>
    <w:p w14:paraId="73C3AAC8">
      <w:pPr>
        <w:numPr>
          <w:ilvl w:val="0"/>
          <w:numId w:val="35"/>
        </w:numPr>
      </w:pPr>
      <w:r>
        <w:t>Strateški plan razvoja javnog zdravstva (2013. – 2015.)</w:t>
      </w:r>
      <w:bookmarkEnd w:id="22"/>
      <w:r>
        <w:t>, Vlada RH i Ministarstvo zdravlja RH, Strateški plan javnog zdravstva 2017. – 2020. – prvi nacrt, HDJZ</w:t>
      </w:r>
    </w:p>
    <w:p w14:paraId="347BA102">
      <w:pPr>
        <w:numPr>
          <w:ilvl w:val="0"/>
          <w:numId w:val="35"/>
        </w:numPr>
      </w:pPr>
      <w:r>
        <w:rPr>
          <w:bCs/>
        </w:rPr>
        <w:t xml:space="preserve">Plan i program mjera zdravstvene zaštite 2023. </w:t>
      </w:r>
      <w:r>
        <w:t>–</w:t>
      </w:r>
      <w:r>
        <w:rPr>
          <w:bCs/>
        </w:rPr>
        <w:t xml:space="preserve"> 2026. (NN 127/03)</w:t>
      </w:r>
    </w:p>
    <w:p w14:paraId="05DCA85D">
      <w:pPr>
        <w:numPr>
          <w:ilvl w:val="0"/>
          <w:numId w:val="35"/>
        </w:numPr>
      </w:pPr>
      <w:r>
        <w:t>Plan promicanja zdravlja, prevencije i ranog otkrivanja bolesti u Gradu Zagrebu za razdoblje 2023. – 2025.</w:t>
      </w:r>
    </w:p>
    <w:p w14:paraId="7D33BB11">
      <w:pPr>
        <w:numPr>
          <w:ilvl w:val="0"/>
          <w:numId w:val="35"/>
        </w:numPr>
      </w:pPr>
      <w:r>
        <w:t>Nacionalni program sporta 2019. – 2026., RH, Središnji državni ured za šport</w:t>
      </w:r>
    </w:p>
    <w:p w14:paraId="08039188">
      <w:pPr>
        <w:numPr>
          <w:ilvl w:val="0"/>
          <w:numId w:val="35"/>
        </w:numPr>
      </w:pPr>
      <w:r>
        <w:t>Strateški okvir razvoja mentalnog zdravlja do 2030., Ministarstvo zdravstva RH.</w:t>
      </w:r>
    </w:p>
    <w:p w14:paraId="0F02229A">
      <w:r>
        <w:br w:type="page"/>
      </w:r>
    </w:p>
    <w:p w14:paraId="57B5D596">
      <w:pPr>
        <w:pStyle w:val="147"/>
      </w:pPr>
      <w:r>
        <w:t>ISHODIŠTE I POKAZATELJI NA KOJIMA SE ZASNIVAJU IZRAČUNI I OCJENE POTREBNIH SREDSTAVA ZA PROVOĐENJE PROGRAMA</w:t>
      </w:r>
    </w:p>
    <w:p w14:paraId="75CFCCEE">
      <w:r>
        <w:t>Planirano je da će se u 2025. godini prihodovati:</w:t>
      </w:r>
    </w:p>
    <w:p w14:paraId="3FF5C6D0">
      <w:pPr>
        <w:numPr>
          <w:ilvl w:val="0"/>
          <w:numId w:val="36"/>
        </w:numPr>
      </w:pPr>
      <w:r>
        <w:t>od strane HZZO-a: 416.351,04 EUR</w:t>
      </w:r>
    </w:p>
    <w:p w14:paraId="52D8F93F">
      <w:pPr>
        <w:numPr>
          <w:ilvl w:val="0"/>
          <w:numId w:val="36"/>
        </w:numPr>
      </w:pPr>
      <w:r>
        <w:t>iz proračuna Grada Zagreba: 62.234 EUR</w:t>
      </w:r>
    </w:p>
    <w:p w14:paraId="68DEBE00">
      <w:pPr>
        <w:numPr>
          <w:ilvl w:val="0"/>
          <w:numId w:val="36"/>
        </w:numPr>
      </w:pPr>
      <w:r>
        <w:t>na tržištu: 29.500 EUR.</w:t>
      </w:r>
    </w:p>
    <w:p w14:paraId="21DA9036"/>
    <w:p w14:paraId="02970B20">
      <w:pPr>
        <w:pStyle w:val="147"/>
      </w:pPr>
      <w:r>
        <w:t>POKAZATELJI PRAĆENJA AKTIVNOSTI</w:t>
      </w:r>
    </w:p>
    <w:p w14:paraId="7475D7B7"/>
    <w:p w14:paraId="7792781A">
      <w:pPr>
        <w:rPr>
          <w:i/>
          <w:iCs/>
        </w:rPr>
      </w:pPr>
      <w:r>
        <w:rPr>
          <w:i/>
          <w:iCs/>
        </w:rPr>
        <w:t>Tablica – Realizirane usluge u razdoblju od 1. 1. do 30. 9. 2024. godine i planirane u 2025. godini</w:t>
      </w:r>
    </w:p>
    <w:tbl>
      <w:tblPr>
        <w:tblStyle w:val="12"/>
        <w:tblW w:w="5000" w:type="pct"/>
        <w:jc w:val="center"/>
        <w:tblLayout w:type="autofit"/>
        <w:tblCellMar>
          <w:top w:w="0" w:type="dxa"/>
          <w:left w:w="108" w:type="dxa"/>
          <w:bottom w:w="0" w:type="dxa"/>
          <w:right w:w="108" w:type="dxa"/>
        </w:tblCellMar>
      </w:tblPr>
      <w:tblGrid>
        <w:gridCol w:w="2318"/>
        <w:gridCol w:w="4360"/>
        <w:gridCol w:w="1308"/>
        <w:gridCol w:w="1302"/>
      </w:tblGrid>
      <w:tr w14:paraId="03D0B697">
        <w:tblPrEx>
          <w:tblCellMar>
            <w:top w:w="0" w:type="dxa"/>
            <w:left w:w="108" w:type="dxa"/>
            <w:bottom w:w="0" w:type="dxa"/>
            <w:right w:w="108" w:type="dxa"/>
          </w:tblCellMar>
        </w:tblPrEx>
        <w:trPr>
          <w:trHeight w:val="911" w:hRule="atLeast"/>
          <w:tblHeader/>
          <w:jc w:val="center"/>
        </w:trPr>
        <w:tc>
          <w:tcPr>
            <w:tcW w:w="1248" w:type="pct"/>
            <w:tcBorders>
              <w:top w:val="single" w:color="auto" w:sz="4" w:space="0"/>
              <w:left w:val="single" w:color="auto" w:sz="4" w:space="0"/>
              <w:bottom w:val="double" w:color="auto" w:sz="4" w:space="0"/>
              <w:right w:val="single" w:color="auto" w:sz="4" w:space="0"/>
            </w:tcBorders>
            <w:shd w:val="clear" w:color="auto" w:fill="auto"/>
            <w:vAlign w:val="center"/>
          </w:tcPr>
          <w:p w14:paraId="0F6C9E85">
            <w:pPr>
              <w:pStyle w:val="150"/>
              <w:jc w:val="left"/>
              <w:rPr>
                <w:i/>
                <w:iCs w:val="0"/>
                <w:sz w:val="18"/>
                <w:szCs w:val="18"/>
              </w:rPr>
            </w:pPr>
            <w:r>
              <w:rPr>
                <w:i/>
                <w:iCs w:val="0"/>
                <w:sz w:val="18"/>
                <w:szCs w:val="18"/>
              </w:rPr>
              <w:t>Aktivnost</w:t>
            </w:r>
          </w:p>
        </w:tc>
        <w:tc>
          <w:tcPr>
            <w:tcW w:w="2347" w:type="pct"/>
            <w:tcBorders>
              <w:top w:val="single" w:color="auto" w:sz="4" w:space="0"/>
              <w:left w:val="nil"/>
              <w:bottom w:val="double" w:color="auto" w:sz="4" w:space="0"/>
              <w:right w:val="single" w:color="auto" w:sz="4" w:space="0"/>
            </w:tcBorders>
            <w:vAlign w:val="center"/>
          </w:tcPr>
          <w:p w14:paraId="550A064B">
            <w:pPr>
              <w:pStyle w:val="150"/>
              <w:jc w:val="left"/>
              <w:rPr>
                <w:i/>
                <w:iCs w:val="0"/>
                <w:sz w:val="18"/>
                <w:szCs w:val="18"/>
              </w:rPr>
            </w:pPr>
            <w:r>
              <w:rPr>
                <w:i/>
                <w:iCs w:val="0"/>
                <w:sz w:val="18"/>
                <w:szCs w:val="18"/>
              </w:rPr>
              <w:t>Usluga</w:t>
            </w:r>
          </w:p>
        </w:tc>
        <w:tc>
          <w:tcPr>
            <w:tcW w:w="704" w:type="pct"/>
            <w:tcBorders>
              <w:top w:val="single" w:color="auto" w:sz="4" w:space="0"/>
              <w:left w:val="single" w:color="auto" w:sz="4" w:space="0"/>
              <w:bottom w:val="double" w:color="auto" w:sz="4" w:space="0"/>
              <w:right w:val="single" w:color="auto" w:sz="4" w:space="0"/>
            </w:tcBorders>
            <w:shd w:val="clear" w:color="auto" w:fill="auto"/>
            <w:vAlign w:val="center"/>
          </w:tcPr>
          <w:p w14:paraId="7CA04B00">
            <w:pPr>
              <w:pStyle w:val="150"/>
              <w:rPr>
                <w:i/>
                <w:iCs w:val="0"/>
                <w:sz w:val="18"/>
                <w:szCs w:val="18"/>
              </w:rPr>
            </w:pPr>
            <w:r>
              <w:rPr>
                <w:i/>
                <w:iCs w:val="0"/>
                <w:sz w:val="18"/>
                <w:szCs w:val="18"/>
              </w:rPr>
              <w:t>Realizirano do 30. 9. 2024.</w:t>
            </w:r>
          </w:p>
        </w:tc>
        <w:tc>
          <w:tcPr>
            <w:tcW w:w="701" w:type="pct"/>
            <w:tcBorders>
              <w:top w:val="single" w:color="auto" w:sz="4" w:space="0"/>
              <w:left w:val="nil"/>
              <w:bottom w:val="double" w:color="auto" w:sz="4" w:space="0"/>
              <w:right w:val="single" w:color="auto" w:sz="4" w:space="0"/>
            </w:tcBorders>
            <w:shd w:val="clear" w:color="auto" w:fill="auto"/>
            <w:vAlign w:val="center"/>
          </w:tcPr>
          <w:p w14:paraId="2C6A4473">
            <w:pPr>
              <w:pStyle w:val="150"/>
              <w:rPr>
                <w:i/>
                <w:iCs w:val="0"/>
                <w:sz w:val="18"/>
                <w:szCs w:val="18"/>
              </w:rPr>
            </w:pPr>
            <w:r>
              <w:rPr>
                <w:i/>
                <w:iCs w:val="0"/>
                <w:sz w:val="18"/>
                <w:szCs w:val="18"/>
              </w:rPr>
              <w:t>Planirano u 2025. godini</w:t>
            </w:r>
          </w:p>
        </w:tc>
      </w:tr>
      <w:tr w14:paraId="79EAABEE">
        <w:tblPrEx>
          <w:tblCellMar>
            <w:top w:w="0" w:type="dxa"/>
            <w:left w:w="108" w:type="dxa"/>
            <w:bottom w:w="0" w:type="dxa"/>
            <w:right w:w="108" w:type="dxa"/>
          </w:tblCellMar>
        </w:tblPrEx>
        <w:trPr>
          <w:trHeight w:val="567" w:hRule="atLeast"/>
          <w:jc w:val="center"/>
        </w:trPr>
        <w:tc>
          <w:tcPr>
            <w:tcW w:w="1248" w:type="pct"/>
            <w:vMerge w:val="restart"/>
            <w:tcBorders>
              <w:top w:val="double" w:color="auto" w:sz="4" w:space="0"/>
              <w:left w:val="single" w:color="auto" w:sz="4" w:space="0"/>
              <w:right w:val="single" w:color="auto" w:sz="4" w:space="0"/>
            </w:tcBorders>
            <w:shd w:val="clear" w:color="auto" w:fill="auto"/>
            <w:vAlign w:val="center"/>
          </w:tcPr>
          <w:p w14:paraId="78F964EA">
            <w:pPr>
              <w:pStyle w:val="150"/>
              <w:jc w:val="left"/>
              <w:rPr>
                <w:spacing w:val="-8"/>
                <w:sz w:val="18"/>
                <w:szCs w:val="18"/>
              </w:rPr>
            </w:pPr>
            <w:r>
              <w:rPr>
                <w:spacing w:val="-8"/>
                <w:sz w:val="18"/>
                <w:szCs w:val="18"/>
              </w:rPr>
              <w:t xml:space="preserve">Zdravstvena statistika primarne i specijalističko-konzilijarne zdravstvene zaštite </w:t>
            </w:r>
          </w:p>
        </w:tc>
        <w:tc>
          <w:tcPr>
            <w:tcW w:w="2347" w:type="pct"/>
            <w:tcBorders>
              <w:top w:val="double" w:color="auto" w:sz="4" w:space="0"/>
              <w:left w:val="nil"/>
              <w:bottom w:val="single" w:color="auto" w:sz="4" w:space="0"/>
              <w:right w:val="single" w:color="auto" w:sz="4" w:space="0"/>
            </w:tcBorders>
            <w:vAlign w:val="center"/>
          </w:tcPr>
          <w:p w14:paraId="12A16FB4">
            <w:pPr>
              <w:pStyle w:val="150"/>
              <w:jc w:val="left"/>
              <w:rPr>
                <w:sz w:val="18"/>
                <w:szCs w:val="18"/>
              </w:rPr>
            </w:pPr>
            <w:r>
              <w:rPr>
                <w:sz w:val="18"/>
                <w:szCs w:val="18"/>
              </w:rPr>
              <w:t>Prikupljanje i evidentiranje izvještajnih obrazaca</w:t>
            </w:r>
          </w:p>
        </w:tc>
        <w:tc>
          <w:tcPr>
            <w:tcW w:w="704" w:type="pct"/>
            <w:tcBorders>
              <w:top w:val="double" w:color="auto" w:sz="4" w:space="0"/>
              <w:left w:val="single" w:color="auto" w:sz="4" w:space="0"/>
              <w:bottom w:val="single" w:color="auto" w:sz="4" w:space="0"/>
              <w:right w:val="single" w:color="auto" w:sz="4" w:space="0"/>
            </w:tcBorders>
            <w:shd w:val="clear" w:color="auto" w:fill="auto"/>
            <w:vAlign w:val="center"/>
          </w:tcPr>
          <w:p w14:paraId="56470842">
            <w:pPr>
              <w:pStyle w:val="150"/>
              <w:rPr>
                <w:sz w:val="18"/>
                <w:szCs w:val="18"/>
              </w:rPr>
            </w:pPr>
            <w:r>
              <w:rPr>
                <w:sz w:val="18"/>
                <w:szCs w:val="18"/>
              </w:rPr>
              <w:t>2.027</w:t>
            </w:r>
          </w:p>
        </w:tc>
        <w:tc>
          <w:tcPr>
            <w:tcW w:w="701" w:type="pct"/>
            <w:tcBorders>
              <w:top w:val="double" w:color="auto" w:sz="4" w:space="0"/>
              <w:left w:val="nil"/>
              <w:bottom w:val="single" w:color="auto" w:sz="4" w:space="0"/>
              <w:right w:val="single" w:color="auto" w:sz="4" w:space="0"/>
            </w:tcBorders>
            <w:shd w:val="clear" w:color="auto" w:fill="auto"/>
            <w:vAlign w:val="center"/>
          </w:tcPr>
          <w:p w14:paraId="7E14AAD5">
            <w:pPr>
              <w:pStyle w:val="150"/>
              <w:rPr>
                <w:sz w:val="18"/>
                <w:szCs w:val="18"/>
              </w:rPr>
            </w:pPr>
            <w:r>
              <w:rPr>
                <w:sz w:val="18"/>
                <w:szCs w:val="18"/>
              </w:rPr>
              <w:t>2.317</w:t>
            </w:r>
          </w:p>
        </w:tc>
      </w:tr>
      <w:tr w14:paraId="34817B94">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3AD2C1B9">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425E9E37">
            <w:pPr>
              <w:pStyle w:val="150"/>
              <w:jc w:val="left"/>
              <w:rPr>
                <w:sz w:val="18"/>
                <w:szCs w:val="18"/>
              </w:rPr>
            </w:pPr>
            <w:r>
              <w:rPr>
                <w:sz w:val="18"/>
                <w:szCs w:val="18"/>
              </w:rPr>
              <w:t>Medicinska i logička kontrola podataka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2E86CD0">
            <w:pPr>
              <w:pStyle w:val="150"/>
              <w:rPr>
                <w:sz w:val="18"/>
                <w:szCs w:val="18"/>
              </w:rPr>
            </w:pPr>
            <w:r>
              <w:rPr>
                <w:sz w:val="18"/>
                <w:szCs w:val="18"/>
              </w:rPr>
              <w:t>2.027</w:t>
            </w:r>
          </w:p>
        </w:tc>
        <w:tc>
          <w:tcPr>
            <w:tcW w:w="701" w:type="pct"/>
            <w:tcBorders>
              <w:top w:val="single" w:color="auto" w:sz="4" w:space="0"/>
              <w:left w:val="nil"/>
              <w:bottom w:val="single" w:color="auto" w:sz="4" w:space="0"/>
              <w:right w:val="single" w:color="auto" w:sz="4" w:space="0"/>
            </w:tcBorders>
            <w:shd w:val="clear" w:color="auto" w:fill="auto"/>
            <w:vAlign w:val="center"/>
          </w:tcPr>
          <w:p w14:paraId="69A33051">
            <w:pPr>
              <w:pStyle w:val="150"/>
              <w:rPr>
                <w:sz w:val="18"/>
                <w:szCs w:val="18"/>
              </w:rPr>
            </w:pPr>
            <w:r>
              <w:rPr>
                <w:sz w:val="18"/>
                <w:szCs w:val="18"/>
              </w:rPr>
              <w:t>2.317</w:t>
            </w:r>
          </w:p>
        </w:tc>
      </w:tr>
      <w:tr w14:paraId="11EFF817">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666EA2AC">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3D638C62">
            <w:pPr>
              <w:pStyle w:val="150"/>
              <w:jc w:val="left"/>
              <w:rPr>
                <w:sz w:val="18"/>
                <w:szCs w:val="18"/>
              </w:rPr>
            </w:pPr>
            <w:r>
              <w:rPr>
                <w:sz w:val="18"/>
                <w:szCs w:val="18"/>
              </w:rPr>
              <w:t>Ispravljanje pogrešnih podataka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2F0D54A8">
            <w:pPr>
              <w:pStyle w:val="150"/>
              <w:rPr>
                <w:sz w:val="18"/>
                <w:szCs w:val="18"/>
              </w:rPr>
            </w:pPr>
            <w:r>
              <w:rPr>
                <w:sz w:val="18"/>
                <w:szCs w:val="18"/>
              </w:rPr>
              <w:t>1.125</w:t>
            </w:r>
          </w:p>
        </w:tc>
        <w:tc>
          <w:tcPr>
            <w:tcW w:w="701" w:type="pct"/>
            <w:tcBorders>
              <w:top w:val="single" w:color="auto" w:sz="4" w:space="0"/>
              <w:left w:val="nil"/>
              <w:bottom w:val="single" w:color="auto" w:sz="4" w:space="0"/>
              <w:right w:val="single" w:color="auto" w:sz="4" w:space="0"/>
            </w:tcBorders>
            <w:shd w:val="clear" w:color="auto" w:fill="auto"/>
            <w:vAlign w:val="center"/>
          </w:tcPr>
          <w:p w14:paraId="2D758EB1">
            <w:pPr>
              <w:pStyle w:val="150"/>
              <w:rPr>
                <w:sz w:val="18"/>
                <w:szCs w:val="18"/>
              </w:rPr>
            </w:pPr>
            <w:r>
              <w:rPr>
                <w:sz w:val="18"/>
                <w:szCs w:val="18"/>
              </w:rPr>
              <w:t>1.200</w:t>
            </w:r>
          </w:p>
        </w:tc>
      </w:tr>
      <w:tr w14:paraId="7C200FE6">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3E0D5163">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1FF8244D">
            <w:pPr>
              <w:pStyle w:val="150"/>
              <w:jc w:val="left"/>
              <w:rPr>
                <w:sz w:val="18"/>
                <w:szCs w:val="18"/>
              </w:rPr>
            </w:pPr>
            <w:r>
              <w:rPr>
                <w:sz w:val="18"/>
                <w:szCs w:val="18"/>
              </w:rPr>
              <w:t>Obrada i stručna analiza pokazatelja zdravstvenog stanja i rada zdravstvene djelatnosti (broj tablica)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0D954F94">
            <w:pPr>
              <w:pStyle w:val="150"/>
              <w:rPr>
                <w:sz w:val="18"/>
                <w:szCs w:val="18"/>
              </w:rPr>
            </w:pPr>
            <w:r>
              <w:rPr>
                <w:sz w:val="18"/>
                <w:szCs w:val="18"/>
              </w:rPr>
              <w:t>63</w:t>
            </w:r>
          </w:p>
        </w:tc>
        <w:tc>
          <w:tcPr>
            <w:tcW w:w="701" w:type="pct"/>
            <w:tcBorders>
              <w:top w:val="single" w:color="auto" w:sz="4" w:space="0"/>
              <w:left w:val="nil"/>
              <w:bottom w:val="single" w:color="auto" w:sz="4" w:space="0"/>
              <w:right w:val="single" w:color="auto" w:sz="4" w:space="0"/>
            </w:tcBorders>
            <w:shd w:val="clear" w:color="auto" w:fill="auto"/>
            <w:vAlign w:val="center"/>
          </w:tcPr>
          <w:p w14:paraId="341A9DAF">
            <w:pPr>
              <w:pStyle w:val="150"/>
              <w:rPr>
                <w:sz w:val="18"/>
                <w:szCs w:val="18"/>
              </w:rPr>
            </w:pPr>
            <w:r>
              <w:rPr>
                <w:sz w:val="18"/>
                <w:szCs w:val="18"/>
              </w:rPr>
              <w:t>75</w:t>
            </w:r>
          </w:p>
        </w:tc>
      </w:tr>
      <w:tr w14:paraId="4CDD2FDB">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750ED5C6">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552C0A6F">
            <w:pPr>
              <w:pStyle w:val="150"/>
              <w:jc w:val="left"/>
              <w:rPr>
                <w:sz w:val="18"/>
                <w:szCs w:val="18"/>
              </w:rPr>
            </w:pPr>
            <w:r>
              <w:rPr>
                <w:sz w:val="18"/>
                <w:szCs w:val="18"/>
              </w:rPr>
              <w:t>Edukacija provoditelja unutar sustava PZZ</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159927C2">
            <w:pPr>
              <w:pStyle w:val="150"/>
              <w:rPr>
                <w:sz w:val="18"/>
                <w:szCs w:val="18"/>
              </w:rPr>
            </w:pPr>
            <w:r>
              <w:rPr>
                <w:sz w:val="18"/>
                <w:szCs w:val="18"/>
              </w:rPr>
              <w:t>108</w:t>
            </w:r>
          </w:p>
        </w:tc>
        <w:tc>
          <w:tcPr>
            <w:tcW w:w="701" w:type="pct"/>
            <w:tcBorders>
              <w:top w:val="single" w:color="auto" w:sz="4" w:space="0"/>
              <w:left w:val="nil"/>
              <w:bottom w:val="single" w:color="auto" w:sz="4" w:space="0"/>
              <w:right w:val="single" w:color="auto" w:sz="4" w:space="0"/>
            </w:tcBorders>
            <w:shd w:val="clear" w:color="auto" w:fill="auto"/>
            <w:vAlign w:val="center"/>
          </w:tcPr>
          <w:p w14:paraId="2F96F261">
            <w:pPr>
              <w:pStyle w:val="150"/>
              <w:rPr>
                <w:sz w:val="18"/>
                <w:szCs w:val="18"/>
              </w:rPr>
            </w:pPr>
            <w:r>
              <w:rPr>
                <w:sz w:val="18"/>
                <w:szCs w:val="18"/>
              </w:rPr>
              <w:t>140</w:t>
            </w:r>
          </w:p>
        </w:tc>
      </w:tr>
      <w:tr w14:paraId="36AAD2C0">
        <w:tblPrEx>
          <w:tblCellMar>
            <w:top w:w="0" w:type="dxa"/>
            <w:left w:w="108" w:type="dxa"/>
            <w:bottom w:w="0" w:type="dxa"/>
            <w:right w:w="108" w:type="dxa"/>
          </w:tblCellMar>
        </w:tblPrEx>
        <w:trPr>
          <w:trHeight w:val="567"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5C81BC60">
            <w:pPr>
              <w:pStyle w:val="150"/>
              <w:jc w:val="left"/>
              <w:rPr>
                <w:spacing w:val="-8"/>
                <w:sz w:val="18"/>
                <w:szCs w:val="18"/>
              </w:rPr>
            </w:pPr>
            <w:r>
              <w:rPr>
                <w:spacing w:val="-8"/>
                <w:sz w:val="18"/>
                <w:szCs w:val="18"/>
              </w:rPr>
              <w:t>Zdravstvena statistika stacionarne zdravstvene zaštite</w:t>
            </w:r>
          </w:p>
        </w:tc>
        <w:tc>
          <w:tcPr>
            <w:tcW w:w="2347" w:type="pct"/>
            <w:tcBorders>
              <w:top w:val="single" w:color="auto" w:sz="4" w:space="0"/>
              <w:left w:val="nil"/>
              <w:bottom w:val="single" w:color="auto" w:sz="4" w:space="0"/>
              <w:right w:val="single" w:color="auto" w:sz="4" w:space="0"/>
            </w:tcBorders>
            <w:vAlign w:val="center"/>
          </w:tcPr>
          <w:p w14:paraId="78248437">
            <w:pPr>
              <w:pStyle w:val="150"/>
              <w:jc w:val="left"/>
              <w:rPr>
                <w:sz w:val="18"/>
                <w:szCs w:val="18"/>
              </w:rPr>
            </w:pPr>
            <w:r>
              <w:rPr>
                <w:sz w:val="18"/>
                <w:szCs w:val="18"/>
              </w:rPr>
              <w:t>Prikupljanje, evidentiranje, medicinska i logička kontrola podataka (BSO zapisi)</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2BF12DEA">
            <w:pPr>
              <w:pStyle w:val="150"/>
              <w:rPr>
                <w:sz w:val="18"/>
                <w:szCs w:val="18"/>
              </w:rPr>
            </w:pPr>
            <w:r>
              <w:rPr>
                <w:sz w:val="18"/>
                <w:szCs w:val="18"/>
              </w:rPr>
              <w:t>1.132.772</w:t>
            </w:r>
          </w:p>
        </w:tc>
        <w:tc>
          <w:tcPr>
            <w:tcW w:w="701" w:type="pct"/>
            <w:tcBorders>
              <w:top w:val="single" w:color="auto" w:sz="4" w:space="0"/>
              <w:left w:val="nil"/>
              <w:bottom w:val="single" w:color="auto" w:sz="4" w:space="0"/>
              <w:right w:val="single" w:color="auto" w:sz="4" w:space="0"/>
            </w:tcBorders>
            <w:shd w:val="clear" w:color="auto" w:fill="auto"/>
            <w:vAlign w:val="center"/>
          </w:tcPr>
          <w:p w14:paraId="5E7B2E44">
            <w:pPr>
              <w:pStyle w:val="150"/>
              <w:rPr>
                <w:sz w:val="18"/>
                <w:szCs w:val="18"/>
              </w:rPr>
            </w:pPr>
            <w:r>
              <w:rPr>
                <w:sz w:val="18"/>
                <w:szCs w:val="18"/>
              </w:rPr>
              <w:t>1.400.000</w:t>
            </w:r>
          </w:p>
        </w:tc>
      </w:tr>
      <w:tr w14:paraId="4161CBF4">
        <w:tblPrEx>
          <w:tblCellMar>
            <w:top w:w="0" w:type="dxa"/>
            <w:left w:w="108" w:type="dxa"/>
            <w:bottom w:w="0" w:type="dxa"/>
            <w:right w:w="108" w:type="dxa"/>
          </w:tblCellMar>
        </w:tblPrEx>
        <w:trPr>
          <w:trHeight w:val="567" w:hRule="atLeast"/>
          <w:jc w:val="center"/>
        </w:trPr>
        <w:tc>
          <w:tcPr>
            <w:tcW w:w="1248" w:type="pct"/>
            <w:vMerge w:val="continue"/>
            <w:tcBorders>
              <w:top w:val="single" w:color="auto" w:sz="4" w:space="0"/>
              <w:left w:val="single" w:color="auto" w:sz="4" w:space="0"/>
              <w:right w:val="single" w:color="auto" w:sz="4" w:space="0"/>
            </w:tcBorders>
            <w:shd w:val="clear" w:color="auto" w:fill="auto"/>
            <w:vAlign w:val="center"/>
          </w:tcPr>
          <w:p w14:paraId="5263E6BE">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5D97DC71">
            <w:pPr>
              <w:pStyle w:val="150"/>
              <w:jc w:val="left"/>
              <w:rPr>
                <w:sz w:val="18"/>
                <w:szCs w:val="18"/>
              </w:rPr>
            </w:pPr>
            <w:r>
              <w:rPr>
                <w:sz w:val="18"/>
                <w:szCs w:val="18"/>
              </w:rPr>
              <w:t>Ispravljanje pogrešnih podataka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25F0B797">
            <w:pPr>
              <w:pStyle w:val="150"/>
              <w:rPr>
                <w:sz w:val="18"/>
                <w:szCs w:val="18"/>
              </w:rPr>
            </w:pPr>
            <w:r>
              <w:rPr>
                <w:sz w:val="18"/>
                <w:szCs w:val="18"/>
              </w:rPr>
              <w:t>431.066</w:t>
            </w:r>
          </w:p>
        </w:tc>
        <w:tc>
          <w:tcPr>
            <w:tcW w:w="701" w:type="pct"/>
            <w:tcBorders>
              <w:top w:val="single" w:color="auto" w:sz="4" w:space="0"/>
              <w:left w:val="nil"/>
              <w:bottom w:val="single" w:color="auto" w:sz="4" w:space="0"/>
              <w:right w:val="single" w:color="auto" w:sz="4" w:space="0"/>
            </w:tcBorders>
            <w:shd w:val="clear" w:color="auto" w:fill="auto"/>
            <w:vAlign w:val="center"/>
          </w:tcPr>
          <w:p w14:paraId="1EBFDBD9">
            <w:pPr>
              <w:pStyle w:val="150"/>
              <w:rPr>
                <w:sz w:val="18"/>
                <w:szCs w:val="18"/>
              </w:rPr>
            </w:pPr>
            <w:r>
              <w:rPr>
                <w:sz w:val="18"/>
                <w:szCs w:val="18"/>
              </w:rPr>
              <w:t>520.000</w:t>
            </w:r>
          </w:p>
        </w:tc>
      </w:tr>
      <w:tr w14:paraId="42B5B157">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bottom w:val="single" w:color="auto" w:sz="4" w:space="0"/>
              <w:right w:val="single" w:color="auto" w:sz="4" w:space="0"/>
            </w:tcBorders>
            <w:shd w:val="clear" w:color="auto" w:fill="auto"/>
            <w:vAlign w:val="center"/>
          </w:tcPr>
          <w:p w14:paraId="5FDA2B5A">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4FBE021F">
            <w:pPr>
              <w:pStyle w:val="150"/>
              <w:jc w:val="left"/>
              <w:rPr>
                <w:sz w:val="18"/>
                <w:szCs w:val="18"/>
              </w:rPr>
            </w:pPr>
            <w:r>
              <w:rPr>
                <w:sz w:val="18"/>
                <w:szCs w:val="18"/>
              </w:rPr>
              <w:t>Obrada i stručna analiza pokazatelja zdravstvenog stanja i rada zdravstvene djelatnosti (broj tablica)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76444B7">
            <w:pPr>
              <w:pStyle w:val="150"/>
              <w:rPr>
                <w:sz w:val="18"/>
                <w:szCs w:val="18"/>
              </w:rPr>
            </w:pPr>
            <w:r>
              <w:rPr>
                <w:sz w:val="18"/>
                <w:szCs w:val="18"/>
              </w:rPr>
              <w:t>69</w:t>
            </w:r>
          </w:p>
        </w:tc>
        <w:tc>
          <w:tcPr>
            <w:tcW w:w="701" w:type="pct"/>
            <w:tcBorders>
              <w:top w:val="single" w:color="auto" w:sz="4" w:space="0"/>
              <w:left w:val="nil"/>
              <w:bottom w:val="single" w:color="auto" w:sz="4" w:space="0"/>
              <w:right w:val="single" w:color="auto" w:sz="4" w:space="0"/>
            </w:tcBorders>
            <w:shd w:val="clear" w:color="auto" w:fill="auto"/>
            <w:vAlign w:val="center"/>
          </w:tcPr>
          <w:p w14:paraId="6CACF812">
            <w:pPr>
              <w:pStyle w:val="150"/>
              <w:rPr>
                <w:sz w:val="18"/>
                <w:szCs w:val="18"/>
              </w:rPr>
            </w:pPr>
            <w:r>
              <w:rPr>
                <w:sz w:val="18"/>
                <w:szCs w:val="18"/>
              </w:rPr>
              <w:t>90</w:t>
            </w:r>
          </w:p>
        </w:tc>
      </w:tr>
      <w:tr w14:paraId="4C45959F">
        <w:tblPrEx>
          <w:tblCellMar>
            <w:top w:w="0" w:type="dxa"/>
            <w:left w:w="108" w:type="dxa"/>
            <w:bottom w:w="0" w:type="dxa"/>
            <w:right w:w="108" w:type="dxa"/>
          </w:tblCellMar>
        </w:tblPrEx>
        <w:trPr>
          <w:trHeight w:val="567"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4F613889">
            <w:pPr>
              <w:pStyle w:val="150"/>
              <w:jc w:val="left"/>
              <w:rPr>
                <w:sz w:val="18"/>
                <w:szCs w:val="18"/>
              </w:rPr>
            </w:pPr>
            <w:r>
              <w:rPr>
                <w:sz w:val="18"/>
                <w:szCs w:val="18"/>
              </w:rPr>
              <w:t>Zdravstvena statistika prijave poroda i prijave prekida trudnoće</w:t>
            </w:r>
          </w:p>
        </w:tc>
        <w:tc>
          <w:tcPr>
            <w:tcW w:w="2347" w:type="pct"/>
            <w:tcBorders>
              <w:top w:val="single" w:color="auto" w:sz="4" w:space="0"/>
              <w:left w:val="nil"/>
              <w:bottom w:val="single" w:color="auto" w:sz="4" w:space="0"/>
              <w:right w:val="single" w:color="auto" w:sz="4" w:space="0"/>
            </w:tcBorders>
            <w:vAlign w:val="center"/>
          </w:tcPr>
          <w:p w14:paraId="5FC2C91E">
            <w:pPr>
              <w:pStyle w:val="150"/>
              <w:jc w:val="left"/>
              <w:rPr>
                <w:sz w:val="18"/>
                <w:szCs w:val="18"/>
              </w:rPr>
            </w:pPr>
            <w:r>
              <w:rPr>
                <w:sz w:val="18"/>
                <w:szCs w:val="18"/>
              </w:rPr>
              <w:t>Prikupljanje, evidentiranje, medicinska i logička kontrola podataka prijave poroda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EAA6C93">
            <w:pPr>
              <w:pStyle w:val="150"/>
              <w:rPr>
                <w:sz w:val="18"/>
                <w:szCs w:val="18"/>
              </w:rPr>
            </w:pPr>
            <w:r>
              <w:rPr>
                <w:sz w:val="18"/>
                <w:szCs w:val="18"/>
              </w:rPr>
              <w:t>8.532</w:t>
            </w:r>
          </w:p>
        </w:tc>
        <w:tc>
          <w:tcPr>
            <w:tcW w:w="701" w:type="pct"/>
            <w:tcBorders>
              <w:top w:val="single" w:color="auto" w:sz="4" w:space="0"/>
              <w:left w:val="nil"/>
              <w:bottom w:val="single" w:color="auto" w:sz="4" w:space="0"/>
              <w:right w:val="single" w:color="auto" w:sz="4" w:space="0"/>
            </w:tcBorders>
            <w:shd w:val="clear" w:color="auto" w:fill="auto"/>
            <w:vAlign w:val="center"/>
          </w:tcPr>
          <w:p w14:paraId="7B1413B9">
            <w:pPr>
              <w:pStyle w:val="150"/>
              <w:rPr>
                <w:sz w:val="18"/>
                <w:szCs w:val="18"/>
              </w:rPr>
            </w:pPr>
            <w:r>
              <w:rPr>
                <w:sz w:val="18"/>
                <w:szCs w:val="18"/>
              </w:rPr>
              <w:t>11.500</w:t>
            </w:r>
          </w:p>
        </w:tc>
      </w:tr>
      <w:tr w14:paraId="1917C70E">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2489C084">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53AB53EE">
            <w:pPr>
              <w:pStyle w:val="150"/>
              <w:jc w:val="left"/>
              <w:rPr>
                <w:sz w:val="18"/>
                <w:szCs w:val="18"/>
              </w:rPr>
            </w:pPr>
            <w:r>
              <w:rPr>
                <w:sz w:val="18"/>
                <w:szCs w:val="18"/>
              </w:rPr>
              <w:t>Ispravljanje pogrešnih podataka prijave poroda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EBFB257">
            <w:pPr>
              <w:pStyle w:val="150"/>
              <w:rPr>
                <w:sz w:val="18"/>
                <w:szCs w:val="18"/>
              </w:rPr>
            </w:pPr>
            <w:r>
              <w:rPr>
                <w:sz w:val="18"/>
                <w:szCs w:val="18"/>
              </w:rPr>
              <w:t>4.658</w:t>
            </w:r>
          </w:p>
        </w:tc>
        <w:tc>
          <w:tcPr>
            <w:tcW w:w="701" w:type="pct"/>
            <w:tcBorders>
              <w:top w:val="single" w:color="auto" w:sz="4" w:space="0"/>
              <w:left w:val="nil"/>
              <w:bottom w:val="single" w:color="auto" w:sz="4" w:space="0"/>
              <w:right w:val="single" w:color="auto" w:sz="4" w:space="0"/>
            </w:tcBorders>
            <w:shd w:val="clear" w:color="auto" w:fill="auto"/>
            <w:vAlign w:val="center"/>
          </w:tcPr>
          <w:p w14:paraId="4B29AE7D">
            <w:pPr>
              <w:pStyle w:val="150"/>
              <w:rPr>
                <w:sz w:val="18"/>
                <w:szCs w:val="18"/>
              </w:rPr>
            </w:pPr>
            <w:r>
              <w:rPr>
                <w:sz w:val="18"/>
                <w:szCs w:val="18"/>
              </w:rPr>
              <w:t>5.800</w:t>
            </w:r>
          </w:p>
        </w:tc>
      </w:tr>
      <w:tr w14:paraId="20C77C7F">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403C2F2A">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5FEA383F">
            <w:pPr>
              <w:pStyle w:val="150"/>
              <w:jc w:val="left"/>
              <w:rPr>
                <w:sz w:val="18"/>
                <w:szCs w:val="18"/>
              </w:rPr>
            </w:pPr>
            <w:r>
              <w:rPr>
                <w:sz w:val="18"/>
                <w:szCs w:val="18"/>
              </w:rPr>
              <w:t>Prikupljanje, evidentiranje, medicinska i logička kontrola podataka prijave prekida trudnoće</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377CA87F">
            <w:pPr>
              <w:pStyle w:val="150"/>
              <w:rPr>
                <w:sz w:val="18"/>
                <w:szCs w:val="18"/>
              </w:rPr>
            </w:pPr>
            <w:r>
              <w:rPr>
                <w:sz w:val="18"/>
                <w:szCs w:val="18"/>
              </w:rPr>
              <w:t>1.524</w:t>
            </w:r>
          </w:p>
        </w:tc>
        <w:tc>
          <w:tcPr>
            <w:tcW w:w="701" w:type="pct"/>
            <w:tcBorders>
              <w:top w:val="single" w:color="auto" w:sz="4" w:space="0"/>
              <w:left w:val="nil"/>
              <w:bottom w:val="single" w:color="auto" w:sz="4" w:space="0"/>
              <w:right w:val="single" w:color="auto" w:sz="4" w:space="0"/>
            </w:tcBorders>
            <w:shd w:val="clear" w:color="auto" w:fill="auto"/>
            <w:vAlign w:val="center"/>
          </w:tcPr>
          <w:p w14:paraId="4458E149">
            <w:pPr>
              <w:pStyle w:val="150"/>
              <w:rPr>
                <w:sz w:val="18"/>
                <w:szCs w:val="18"/>
              </w:rPr>
            </w:pPr>
            <w:r>
              <w:rPr>
                <w:sz w:val="18"/>
                <w:szCs w:val="18"/>
              </w:rPr>
              <w:t>2.000</w:t>
            </w:r>
          </w:p>
        </w:tc>
      </w:tr>
      <w:tr w14:paraId="1817EFBF">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1FFFD8D9">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352EC5F7">
            <w:pPr>
              <w:pStyle w:val="150"/>
              <w:jc w:val="left"/>
              <w:rPr>
                <w:spacing w:val="-6"/>
                <w:sz w:val="18"/>
                <w:szCs w:val="18"/>
              </w:rPr>
            </w:pPr>
            <w:r>
              <w:rPr>
                <w:spacing w:val="-6"/>
                <w:sz w:val="18"/>
                <w:szCs w:val="18"/>
              </w:rPr>
              <w:t>Ispravljanje pogrešnih podataka prijave prekida trudnoće</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5E6D52FF">
            <w:pPr>
              <w:pStyle w:val="150"/>
              <w:rPr>
                <w:sz w:val="18"/>
                <w:szCs w:val="18"/>
              </w:rPr>
            </w:pPr>
            <w:r>
              <w:rPr>
                <w:sz w:val="18"/>
                <w:szCs w:val="18"/>
              </w:rPr>
              <w:t>696</w:t>
            </w:r>
          </w:p>
        </w:tc>
        <w:tc>
          <w:tcPr>
            <w:tcW w:w="701" w:type="pct"/>
            <w:tcBorders>
              <w:top w:val="single" w:color="auto" w:sz="4" w:space="0"/>
              <w:left w:val="nil"/>
              <w:bottom w:val="single" w:color="auto" w:sz="4" w:space="0"/>
              <w:right w:val="single" w:color="auto" w:sz="4" w:space="0"/>
            </w:tcBorders>
            <w:shd w:val="clear" w:color="auto" w:fill="auto"/>
            <w:vAlign w:val="center"/>
          </w:tcPr>
          <w:p w14:paraId="2315D84E">
            <w:pPr>
              <w:pStyle w:val="150"/>
              <w:rPr>
                <w:sz w:val="18"/>
                <w:szCs w:val="18"/>
              </w:rPr>
            </w:pPr>
            <w:r>
              <w:rPr>
                <w:sz w:val="18"/>
                <w:szCs w:val="18"/>
              </w:rPr>
              <w:t>900</w:t>
            </w:r>
          </w:p>
        </w:tc>
      </w:tr>
      <w:tr w14:paraId="2280D0AF">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bottom w:val="single" w:color="auto" w:sz="4" w:space="0"/>
              <w:right w:val="single" w:color="auto" w:sz="4" w:space="0"/>
            </w:tcBorders>
            <w:shd w:val="clear" w:color="auto" w:fill="auto"/>
            <w:vAlign w:val="center"/>
          </w:tcPr>
          <w:p w14:paraId="695529D5">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0332BA1B">
            <w:pPr>
              <w:pStyle w:val="150"/>
              <w:jc w:val="left"/>
              <w:rPr>
                <w:sz w:val="18"/>
                <w:szCs w:val="18"/>
              </w:rPr>
            </w:pPr>
            <w:r>
              <w:rPr>
                <w:sz w:val="18"/>
                <w:szCs w:val="18"/>
              </w:rPr>
              <w:t>Obrada i stručna analiza pokazatelja zdravstvenog stanja i rada zdravstvene djelatnosti (broj tablica)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C1A5C99">
            <w:pPr>
              <w:pStyle w:val="150"/>
              <w:rPr>
                <w:sz w:val="18"/>
                <w:szCs w:val="18"/>
              </w:rPr>
            </w:pPr>
            <w:r>
              <w:rPr>
                <w:sz w:val="18"/>
                <w:szCs w:val="18"/>
              </w:rPr>
              <w:t>48</w:t>
            </w:r>
          </w:p>
        </w:tc>
        <w:tc>
          <w:tcPr>
            <w:tcW w:w="701" w:type="pct"/>
            <w:tcBorders>
              <w:top w:val="single" w:color="auto" w:sz="4" w:space="0"/>
              <w:left w:val="nil"/>
              <w:bottom w:val="single" w:color="auto" w:sz="4" w:space="0"/>
              <w:right w:val="single" w:color="auto" w:sz="4" w:space="0"/>
            </w:tcBorders>
            <w:shd w:val="clear" w:color="auto" w:fill="auto"/>
            <w:vAlign w:val="center"/>
          </w:tcPr>
          <w:p w14:paraId="2A5F3BAB">
            <w:pPr>
              <w:pStyle w:val="150"/>
              <w:rPr>
                <w:sz w:val="18"/>
                <w:szCs w:val="18"/>
              </w:rPr>
            </w:pPr>
            <w:r>
              <w:rPr>
                <w:sz w:val="18"/>
                <w:szCs w:val="18"/>
              </w:rPr>
              <w:t>58</w:t>
            </w:r>
          </w:p>
        </w:tc>
      </w:tr>
      <w:tr w14:paraId="258F9B10">
        <w:tblPrEx>
          <w:tblCellMar>
            <w:top w:w="0" w:type="dxa"/>
            <w:left w:w="108" w:type="dxa"/>
            <w:bottom w:w="0" w:type="dxa"/>
            <w:right w:w="108" w:type="dxa"/>
          </w:tblCellMar>
        </w:tblPrEx>
        <w:trPr>
          <w:trHeight w:val="567"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42D2A0F1">
            <w:pPr>
              <w:pStyle w:val="150"/>
              <w:jc w:val="left"/>
              <w:rPr>
                <w:sz w:val="18"/>
                <w:szCs w:val="18"/>
              </w:rPr>
            </w:pPr>
            <w:r>
              <w:rPr>
                <w:sz w:val="18"/>
                <w:szCs w:val="18"/>
              </w:rPr>
              <w:t>Izrada publikacije</w:t>
            </w:r>
          </w:p>
        </w:tc>
        <w:tc>
          <w:tcPr>
            <w:tcW w:w="2347" w:type="pct"/>
            <w:tcBorders>
              <w:top w:val="single" w:color="auto" w:sz="4" w:space="0"/>
              <w:left w:val="nil"/>
              <w:bottom w:val="single" w:color="auto" w:sz="4" w:space="0"/>
              <w:right w:val="single" w:color="auto" w:sz="4" w:space="0"/>
            </w:tcBorders>
            <w:vAlign w:val="center"/>
          </w:tcPr>
          <w:p w14:paraId="25750F73">
            <w:pPr>
              <w:pStyle w:val="150"/>
              <w:jc w:val="left"/>
              <w:rPr>
                <w:i/>
                <w:sz w:val="18"/>
                <w:szCs w:val="18"/>
              </w:rPr>
            </w:pPr>
            <w:r>
              <w:rPr>
                <w:i/>
                <w:sz w:val="18"/>
                <w:szCs w:val="18"/>
              </w:rPr>
              <w:t>Zdravstveno-statistički ljetopis Grada Zagreba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16DE76B6">
            <w:pPr>
              <w:pStyle w:val="150"/>
              <w:rPr>
                <w:sz w:val="18"/>
                <w:szCs w:val="18"/>
              </w:rPr>
            </w:pPr>
            <w:r>
              <w:rPr>
                <w:sz w:val="18"/>
                <w:szCs w:val="18"/>
              </w:rPr>
              <w:t>1</w:t>
            </w:r>
          </w:p>
        </w:tc>
        <w:tc>
          <w:tcPr>
            <w:tcW w:w="701" w:type="pct"/>
            <w:tcBorders>
              <w:top w:val="single" w:color="auto" w:sz="4" w:space="0"/>
              <w:left w:val="nil"/>
              <w:bottom w:val="single" w:color="auto" w:sz="4" w:space="0"/>
              <w:right w:val="single" w:color="auto" w:sz="4" w:space="0"/>
            </w:tcBorders>
            <w:shd w:val="clear" w:color="auto" w:fill="auto"/>
            <w:vAlign w:val="center"/>
          </w:tcPr>
          <w:p w14:paraId="6F7CE5FA">
            <w:pPr>
              <w:pStyle w:val="150"/>
              <w:rPr>
                <w:sz w:val="18"/>
                <w:szCs w:val="18"/>
              </w:rPr>
            </w:pPr>
            <w:r>
              <w:rPr>
                <w:sz w:val="18"/>
                <w:szCs w:val="18"/>
              </w:rPr>
              <w:t>1</w:t>
            </w:r>
          </w:p>
        </w:tc>
      </w:tr>
      <w:tr w14:paraId="7CF9627B">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right w:val="single" w:color="auto" w:sz="4" w:space="0"/>
            </w:tcBorders>
            <w:shd w:val="clear" w:color="auto" w:fill="auto"/>
            <w:vAlign w:val="center"/>
          </w:tcPr>
          <w:p w14:paraId="113C7661">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5796183E">
            <w:pPr>
              <w:pStyle w:val="150"/>
              <w:jc w:val="left"/>
              <w:rPr>
                <w:sz w:val="18"/>
                <w:szCs w:val="18"/>
              </w:rPr>
            </w:pPr>
            <w:r>
              <w:rPr>
                <w:sz w:val="18"/>
                <w:szCs w:val="18"/>
              </w:rPr>
              <w:t xml:space="preserve">e-časopis </w:t>
            </w:r>
            <w:r>
              <w:rPr>
                <w:i/>
                <w:sz w:val="18"/>
                <w:szCs w:val="18"/>
              </w:rPr>
              <w:t>Zdravlje za sve</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342CD46C">
            <w:pPr>
              <w:pStyle w:val="150"/>
              <w:rPr>
                <w:sz w:val="18"/>
                <w:szCs w:val="18"/>
              </w:rPr>
            </w:pPr>
            <w:r>
              <w:rPr>
                <w:sz w:val="18"/>
                <w:szCs w:val="18"/>
              </w:rPr>
              <w:t>1</w:t>
            </w:r>
          </w:p>
        </w:tc>
        <w:tc>
          <w:tcPr>
            <w:tcW w:w="701" w:type="pct"/>
            <w:tcBorders>
              <w:top w:val="single" w:color="auto" w:sz="4" w:space="0"/>
              <w:left w:val="nil"/>
              <w:bottom w:val="single" w:color="auto" w:sz="4" w:space="0"/>
              <w:right w:val="single" w:color="auto" w:sz="4" w:space="0"/>
            </w:tcBorders>
            <w:shd w:val="clear" w:color="auto" w:fill="auto"/>
            <w:vAlign w:val="center"/>
          </w:tcPr>
          <w:p w14:paraId="36DDFB2B">
            <w:pPr>
              <w:pStyle w:val="150"/>
              <w:rPr>
                <w:sz w:val="18"/>
                <w:szCs w:val="18"/>
              </w:rPr>
            </w:pPr>
            <w:r>
              <w:rPr>
                <w:sz w:val="18"/>
                <w:szCs w:val="18"/>
              </w:rPr>
              <w:t>1</w:t>
            </w:r>
          </w:p>
        </w:tc>
      </w:tr>
      <w:tr w14:paraId="7F3FBA54">
        <w:tblPrEx>
          <w:tblCellMar>
            <w:top w:w="0" w:type="dxa"/>
            <w:left w:w="108" w:type="dxa"/>
            <w:bottom w:w="0" w:type="dxa"/>
            <w:right w:w="108" w:type="dxa"/>
          </w:tblCellMar>
        </w:tblPrEx>
        <w:trPr>
          <w:trHeight w:val="567" w:hRule="atLeast"/>
          <w:jc w:val="center"/>
        </w:trPr>
        <w:tc>
          <w:tcPr>
            <w:tcW w:w="12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43FBED">
            <w:pPr>
              <w:pStyle w:val="150"/>
              <w:jc w:val="left"/>
              <w:rPr>
                <w:spacing w:val="-10"/>
                <w:sz w:val="18"/>
                <w:szCs w:val="18"/>
              </w:rPr>
            </w:pPr>
            <w:r>
              <w:rPr>
                <w:spacing w:val="-10"/>
                <w:sz w:val="18"/>
                <w:szCs w:val="18"/>
              </w:rPr>
              <w:t>Nacionalni program ranog otkrivanja raka vrata maternice</w:t>
            </w:r>
          </w:p>
        </w:tc>
        <w:tc>
          <w:tcPr>
            <w:tcW w:w="2347" w:type="pct"/>
            <w:tcBorders>
              <w:top w:val="single" w:color="auto" w:sz="4" w:space="0"/>
              <w:left w:val="nil"/>
              <w:bottom w:val="single" w:color="auto" w:sz="4" w:space="0"/>
              <w:right w:val="single" w:color="auto" w:sz="4" w:space="0"/>
            </w:tcBorders>
            <w:vAlign w:val="center"/>
          </w:tcPr>
          <w:p w14:paraId="792474A8">
            <w:pPr>
              <w:pStyle w:val="150"/>
              <w:jc w:val="left"/>
              <w:rPr>
                <w:sz w:val="18"/>
                <w:szCs w:val="18"/>
              </w:rPr>
            </w:pPr>
            <w:r>
              <w:rPr>
                <w:sz w:val="18"/>
                <w:szCs w:val="18"/>
              </w:rPr>
              <w:t>Savjetovanje (telefon, e-pošta)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069C4EC4">
            <w:pPr>
              <w:pStyle w:val="150"/>
              <w:rPr>
                <w:sz w:val="18"/>
                <w:szCs w:val="18"/>
              </w:rPr>
            </w:pPr>
            <w:r>
              <w:rPr>
                <w:sz w:val="18"/>
                <w:szCs w:val="18"/>
              </w:rPr>
              <w:t>183</w:t>
            </w:r>
          </w:p>
        </w:tc>
        <w:tc>
          <w:tcPr>
            <w:tcW w:w="701" w:type="pct"/>
            <w:tcBorders>
              <w:top w:val="single" w:color="auto" w:sz="4" w:space="0"/>
              <w:left w:val="nil"/>
              <w:bottom w:val="single" w:color="auto" w:sz="4" w:space="0"/>
              <w:right w:val="single" w:color="auto" w:sz="4" w:space="0"/>
            </w:tcBorders>
            <w:shd w:val="clear" w:color="auto" w:fill="auto"/>
            <w:vAlign w:val="center"/>
          </w:tcPr>
          <w:p w14:paraId="358660E3">
            <w:pPr>
              <w:pStyle w:val="150"/>
              <w:rPr>
                <w:sz w:val="18"/>
                <w:szCs w:val="18"/>
              </w:rPr>
            </w:pPr>
            <w:r>
              <w:rPr>
                <w:sz w:val="18"/>
                <w:szCs w:val="18"/>
              </w:rPr>
              <w:t>240</w:t>
            </w:r>
          </w:p>
        </w:tc>
      </w:tr>
      <w:tr w14:paraId="2844E174">
        <w:tblPrEx>
          <w:tblCellMar>
            <w:top w:w="0" w:type="dxa"/>
            <w:left w:w="108" w:type="dxa"/>
            <w:bottom w:w="0" w:type="dxa"/>
            <w:right w:w="108" w:type="dxa"/>
          </w:tblCellMar>
        </w:tblPrEx>
        <w:trPr>
          <w:trHeight w:val="567" w:hRule="atLeast"/>
          <w:jc w:val="center"/>
        </w:trPr>
        <w:tc>
          <w:tcPr>
            <w:tcW w:w="1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C2EDD">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7BFEA1FC">
            <w:pPr>
              <w:pStyle w:val="150"/>
              <w:jc w:val="left"/>
              <w:rPr>
                <w:sz w:val="18"/>
                <w:szCs w:val="18"/>
              </w:rPr>
            </w:pPr>
            <w:r>
              <w:rPr>
                <w:sz w:val="18"/>
                <w:szCs w:val="18"/>
              </w:rPr>
              <w:t>Promotivne aktivnosti</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7299283F">
            <w:pPr>
              <w:pStyle w:val="150"/>
              <w:rPr>
                <w:sz w:val="18"/>
                <w:szCs w:val="18"/>
              </w:rPr>
            </w:pPr>
            <w:r>
              <w:rPr>
                <w:sz w:val="18"/>
                <w:szCs w:val="18"/>
              </w:rPr>
              <w:t>9</w:t>
            </w:r>
          </w:p>
        </w:tc>
        <w:tc>
          <w:tcPr>
            <w:tcW w:w="701" w:type="pct"/>
            <w:tcBorders>
              <w:top w:val="single" w:color="auto" w:sz="4" w:space="0"/>
              <w:left w:val="nil"/>
              <w:bottom w:val="single" w:color="auto" w:sz="4" w:space="0"/>
              <w:right w:val="single" w:color="auto" w:sz="4" w:space="0"/>
            </w:tcBorders>
            <w:shd w:val="clear" w:color="auto" w:fill="auto"/>
            <w:vAlign w:val="center"/>
          </w:tcPr>
          <w:p w14:paraId="78A9E1B5">
            <w:pPr>
              <w:pStyle w:val="150"/>
              <w:rPr>
                <w:sz w:val="18"/>
                <w:szCs w:val="18"/>
              </w:rPr>
            </w:pPr>
            <w:r>
              <w:rPr>
                <w:sz w:val="18"/>
                <w:szCs w:val="18"/>
              </w:rPr>
              <w:t>12</w:t>
            </w:r>
          </w:p>
        </w:tc>
      </w:tr>
      <w:tr w14:paraId="760BC95B">
        <w:tblPrEx>
          <w:tblCellMar>
            <w:top w:w="0" w:type="dxa"/>
            <w:left w:w="108" w:type="dxa"/>
            <w:bottom w:w="0" w:type="dxa"/>
            <w:right w:w="108" w:type="dxa"/>
          </w:tblCellMar>
        </w:tblPrEx>
        <w:trPr>
          <w:trHeight w:val="567" w:hRule="atLeast"/>
          <w:jc w:val="center"/>
        </w:trPr>
        <w:tc>
          <w:tcPr>
            <w:tcW w:w="1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89ECFD">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47559B8C">
            <w:pPr>
              <w:pStyle w:val="150"/>
              <w:jc w:val="left"/>
              <w:rPr>
                <w:sz w:val="18"/>
                <w:szCs w:val="18"/>
              </w:rPr>
            </w:pPr>
            <w:r>
              <w:rPr>
                <w:sz w:val="18"/>
                <w:szCs w:val="18"/>
              </w:rPr>
              <w:t>Pružanje stručno-metodološke pomoći</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3A3D2A98">
            <w:pPr>
              <w:pStyle w:val="150"/>
              <w:rPr>
                <w:sz w:val="18"/>
                <w:szCs w:val="18"/>
              </w:rPr>
            </w:pPr>
            <w:r>
              <w:rPr>
                <w:sz w:val="18"/>
                <w:szCs w:val="18"/>
              </w:rPr>
              <w:t>62</w:t>
            </w:r>
          </w:p>
        </w:tc>
        <w:tc>
          <w:tcPr>
            <w:tcW w:w="701" w:type="pct"/>
            <w:tcBorders>
              <w:top w:val="single" w:color="auto" w:sz="4" w:space="0"/>
              <w:left w:val="nil"/>
              <w:bottom w:val="single" w:color="auto" w:sz="4" w:space="0"/>
              <w:right w:val="single" w:color="auto" w:sz="4" w:space="0"/>
            </w:tcBorders>
            <w:shd w:val="clear" w:color="auto" w:fill="auto"/>
            <w:vAlign w:val="center"/>
          </w:tcPr>
          <w:p w14:paraId="5797CFCD">
            <w:pPr>
              <w:pStyle w:val="150"/>
              <w:rPr>
                <w:sz w:val="18"/>
                <w:szCs w:val="18"/>
              </w:rPr>
            </w:pPr>
            <w:r>
              <w:rPr>
                <w:sz w:val="18"/>
                <w:szCs w:val="18"/>
              </w:rPr>
              <w:t>80</w:t>
            </w:r>
          </w:p>
        </w:tc>
      </w:tr>
      <w:tr w14:paraId="7D1A7D03">
        <w:tblPrEx>
          <w:tblCellMar>
            <w:top w:w="0" w:type="dxa"/>
            <w:left w:w="108" w:type="dxa"/>
            <w:bottom w:w="0" w:type="dxa"/>
            <w:right w:w="108" w:type="dxa"/>
          </w:tblCellMar>
        </w:tblPrEx>
        <w:trPr>
          <w:trHeight w:val="567" w:hRule="atLeast"/>
          <w:jc w:val="center"/>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14:paraId="3D3898C0">
            <w:pPr>
              <w:pStyle w:val="150"/>
              <w:jc w:val="left"/>
              <w:rPr>
                <w:sz w:val="18"/>
                <w:szCs w:val="18"/>
              </w:rPr>
            </w:pPr>
            <w:r>
              <w:rPr>
                <w:sz w:val="18"/>
                <w:szCs w:val="18"/>
              </w:rPr>
              <w:t>Javnozdravstvene aktivnosti</w:t>
            </w:r>
          </w:p>
        </w:tc>
        <w:tc>
          <w:tcPr>
            <w:tcW w:w="2347" w:type="pct"/>
            <w:tcBorders>
              <w:top w:val="single" w:color="auto" w:sz="4" w:space="0"/>
              <w:left w:val="nil"/>
              <w:bottom w:val="single" w:color="auto" w:sz="4" w:space="0"/>
              <w:right w:val="single" w:color="auto" w:sz="4" w:space="0"/>
            </w:tcBorders>
            <w:shd w:val="clear" w:color="auto" w:fill="auto"/>
            <w:vAlign w:val="center"/>
          </w:tcPr>
          <w:p w14:paraId="3F48DEC8">
            <w:pPr>
              <w:pStyle w:val="150"/>
              <w:jc w:val="left"/>
              <w:rPr>
                <w:sz w:val="18"/>
                <w:szCs w:val="18"/>
              </w:rPr>
            </w:pPr>
            <w:r>
              <w:rPr>
                <w:sz w:val="18"/>
                <w:szCs w:val="18"/>
              </w:rPr>
              <w:t>Javnozdravstvene akcije</w:t>
            </w:r>
          </w:p>
        </w:tc>
        <w:tc>
          <w:tcPr>
            <w:tcW w:w="704" w:type="pct"/>
            <w:tcBorders>
              <w:top w:val="nil"/>
              <w:left w:val="single" w:color="auto" w:sz="4" w:space="0"/>
              <w:bottom w:val="single" w:color="auto" w:sz="4" w:space="0"/>
              <w:right w:val="single" w:color="auto" w:sz="4" w:space="0"/>
            </w:tcBorders>
            <w:shd w:val="clear" w:color="auto" w:fill="auto"/>
            <w:vAlign w:val="center"/>
          </w:tcPr>
          <w:p w14:paraId="6997811C">
            <w:pPr>
              <w:pStyle w:val="150"/>
              <w:rPr>
                <w:sz w:val="18"/>
                <w:szCs w:val="18"/>
              </w:rPr>
            </w:pPr>
            <w:r>
              <w:rPr>
                <w:sz w:val="18"/>
                <w:szCs w:val="18"/>
              </w:rPr>
              <w:t>26</w:t>
            </w:r>
          </w:p>
        </w:tc>
        <w:tc>
          <w:tcPr>
            <w:tcW w:w="701" w:type="pct"/>
            <w:tcBorders>
              <w:top w:val="nil"/>
              <w:left w:val="nil"/>
              <w:bottom w:val="single" w:color="auto" w:sz="4" w:space="0"/>
              <w:right w:val="single" w:color="auto" w:sz="4" w:space="0"/>
            </w:tcBorders>
            <w:shd w:val="clear" w:color="auto" w:fill="auto"/>
            <w:noWrap/>
            <w:vAlign w:val="center"/>
          </w:tcPr>
          <w:p w14:paraId="744102EF">
            <w:pPr>
              <w:pStyle w:val="150"/>
              <w:rPr>
                <w:sz w:val="18"/>
                <w:szCs w:val="18"/>
              </w:rPr>
            </w:pPr>
            <w:r>
              <w:rPr>
                <w:sz w:val="18"/>
                <w:szCs w:val="18"/>
              </w:rPr>
              <w:t>28</w:t>
            </w:r>
          </w:p>
        </w:tc>
      </w:tr>
      <w:tr w14:paraId="01AC88F3">
        <w:tblPrEx>
          <w:tblCellMar>
            <w:top w:w="0" w:type="dxa"/>
            <w:left w:w="108" w:type="dxa"/>
            <w:bottom w:w="0" w:type="dxa"/>
            <w:right w:w="108" w:type="dxa"/>
          </w:tblCellMar>
        </w:tblPrEx>
        <w:trPr>
          <w:trHeight w:val="567"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7C3AD565">
            <w:pPr>
              <w:pStyle w:val="150"/>
              <w:jc w:val="left"/>
              <w:rPr>
                <w:spacing w:val="-6"/>
                <w:sz w:val="18"/>
                <w:szCs w:val="18"/>
              </w:rPr>
            </w:pPr>
            <w:r>
              <w:rPr>
                <w:spacing w:val="-6"/>
                <w:sz w:val="18"/>
                <w:szCs w:val="18"/>
              </w:rPr>
              <w:t>Savjetovanje o zdravim stilovima života – kineziološko</w:t>
            </w:r>
          </w:p>
        </w:tc>
        <w:tc>
          <w:tcPr>
            <w:tcW w:w="2347" w:type="pct"/>
            <w:tcBorders>
              <w:top w:val="single" w:color="auto" w:sz="4" w:space="0"/>
              <w:left w:val="nil"/>
              <w:bottom w:val="single" w:color="auto" w:sz="4" w:space="0"/>
              <w:right w:val="single" w:color="auto" w:sz="4" w:space="0"/>
            </w:tcBorders>
            <w:shd w:val="clear" w:color="auto" w:fill="auto"/>
            <w:vAlign w:val="center"/>
          </w:tcPr>
          <w:p w14:paraId="781986E3">
            <w:pPr>
              <w:pStyle w:val="150"/>
              <w:jc w:val="left"/>
              <w:rPr>
                <w:sz w:val="18"/>
                <w:szCs w:val="18"/>
              </w:rPr>
            </w:pPr>
            <w:r>
              <w:rPr>
                <w:sz w:val="18"/>
                <w:szCs w:val="18"/>
              </w:rPr>
              <w:t>Kratko (10 min.)</w:t>
            </w:r>
          </w:p>
        </w:tc>
        <w:tc>
          <w:tcPr>
            <w:tcW w:w="704" w:type="pct"/>
            <w:tcBorders>
              <w:top w:val="nil"/>
              <w:left w:val="single" w:color="auto" w:sz="4" w:space="0"/>
              <w:bottom w:val="single" w:color="auto" w:sz="4" w:space="0"/>
              <w:right w:val="single" w:color="auto" w:sz="4" w:space="0"/>
            </w:tcBorders>
            <w:shd w:val="clear" w:color="auto" w:fill="auto"/>
            <w:vAlign w:val="center"/>
          </w:tcPr>
          <w:p w14:paraId="0658B4C5">
            <w:pPr>
              <w:pStyle w:val="150"/>
              <w:rPr>
                <w:sz w:val="18"/>
                <w:szCs w:val="18"/>
              </w:rPr>
            </w:pPr>
            <w:r>
              <w:rPr>
                <w:sz w:val="18"/>
                <w:szCs w:val="18"/>
              </w:rPr>
              <w:t>475</w:t>
            </w:r>
          </w:p>
        </w:tc>
        <w:tc>
          <w:tcPr>
            <w:tcW w:w="701" w:type="pct"/>
            <w:tcBorders>
              <w:top w:val="nil"/>
              <w:left w:val="nil"/>
              <w:bottom w:val="single" w:color="auto" w:sz="4" w:space="0"/>
              <w:right w:val="single" w:color="auto" w:sz="4" w:space="0"/>
            </w:tcBorders>
            <w:shd w:val="clear" w:color="auto" w:fill="auto"/>
            <w:noWrap/>
            <w:vAlign w:val="center"/>
          </w:tcPr>
          <w:p w14:paraId="141B9840">
            <w:pPr>
              <w:pStyle w:val="150"/>
              <w:rPr>
                <w:sz w:val="18"/>
                <w:szCs w:val="18"/>
              </w:rPr>
            </w:pPr>
            <w:r>
              <w:rPr>
                <w:sz w:val="18"/>
                <w:szCs w:val="18"/>
              </w:rPr>
              <w:t>700</w:t>
            </w:r>
          </w:p>
        </w:tc>
      </w:tr>
      <w:tr w14:paraId="661C009C">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bottom w:val="single" w:color="auto" w:sz="4" w:space="0"/>
              <w:right w:val="single" w:color="auto" w:sz="4" w:space="0"/>
            </w:tcBorders>
            <w:shd w:val="clear" w:color="auto" w:fill="auto"/>
            <w:vAlign w:val="center"/>
          </w:tcPr>
          <w:p w14:paraId="530E8082">
            <w:pPr>
              <w:pStyle w:val="150"/>
              <w:jc w:val="left"/>
              <w:rPr>
                <w:sz w:val="18"/>
                <w:szCs w:val="18"/>
              </w:rPr>
            </w:pPr>
          </w:p>
        </w:tc>
        <w:tc>
          <w:tcPr>
            <w:tcW w:w="2347" w:type="pct"/>
            <w:tcBorders>
              <w:top w:val="single" w:color="auto" w:sz="4" w:space="0"/>
              <w:left w:val="nil"/>
              <w:bottom w:val="single" w:color="auto" w:sz="4" w:space="0"/>
              <w:right w:val="single" w:color="auto" w:sz="4" w:space="0"/>
            </w:tcBorders>
            <w:shd w:val="clear" w:color="auto" w:fill="auto"/>
            <w:vAlign w:val="center"/>
          </w:tcPr>
          <w:p w14:paraId="6E64D7D6">
            <w:pPr>
              <w:pStyle w:val="150"/>
              <w:jc w:val="left"/>
              <w:rPr>
                <w:sz w:val="18"/>
                <w:szCs w:val="18"/>
              </w:rPr>
            </w:pPr>
            <w:r>
              <w:rPr>
                <w:sz w:val="18"/>
                <w:szCs w:val="18"/>
              </w:rPr>
              <w:t>Savjetovanje (1. posjet, kontrola)</w:t>
            </w:r>
          </w:p>
        </w:tc>
        <w:tc>
          <w:tcPr>
            <w:tcW w:w="704" w:type="pct"/>
            <w:tcBorders>
              <w:top w:val="nil"/>
              <w:left w:val="single" w:color="auto" w:sz="4" w:space="0"/>
              <w:bottom w:val="single" w:color="auto" w:sz="4" w:space="0"/>
              <w:right w:val="single" w:color="auto" w:sz="4" w:space="0"/>
            </w:tcBorders>
            <w:shd w:val="clear" w:color="auto" w:fill="auto"/>
            <w:vAlign w:val="center"/>
          </w:tcPr>
          <w:p w14:paraId="2DB93111">
            <w:pPr>
              <w:pStyle w:val="150"/>
              <w:rPr>
                <w:sz w:val="18"/>
                <w:szCs w:val="18"/>
              </w:rPr>
            </w:pPr>
            <w:r>
              <w:rPr>
                <w:sz w:val="18"/>
                <w:szCs w:val="18"/>
              </w:rPr>
              <w:t>161</w:t>
            </w:r>
          </w:p>
        </w:tc>
        <w:tc>
          <w:tcPr>
            <w:tcW w:w="701" w:type="pct"/>
            <w:tcBorders>
              <w:top w:val="nil"/>
              <w:left w:val="nil"/>
              <w:bottom w:val="single" w:color="auto" w:sz="4" w:space="0"/>
              <w:right w:val="single" w:color="auto" w:sz="4" w:space="0"/>
            </w:tcBorders>
            <w:shd w:val="clear" w:color="auto" w:fill="auto"/>
            <w:noWrap/>
            <w:vAlign w:val="center"/>
          </w:tcPr>
          <w:p w14:paraId="349C2AA0">
            <w:pPr>
              <w:pStyle w:val="150"/>
              <w:rPr>
                <w:sz w:val="18"/>
                <w:szCs w:val="18"/>
              </w:rPr>
            </w:pPr>
            <w:r>
              <w:rPr>
                <w:sz w:val="18"/>
                <w:szCs w:val="18"/>
              </w:rPr>
              <w:t>250</w:t>
            </w:r>
          </w:p>
        </w:tc>
      </w:tr>
      <w:tr w14:paraId="10873257">
        <w:tblPrEx>
          <w:tblCellMar>
            <w:top w:w="0" w:type="dxa"/>
            <w:left w:w="108" w:type="dxa"/>
            <w:bottom w:w="0" w:type="dxa"/>
            <w:right w:w="108" w:type="dxa"/>
          </w:tblCellMar>
        </w:tblPrEx>
        <w:trPr>
          <w:trHeight w:val="435"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5B503B42">
            <w:pPr>
              <w:pStyle w:val="150"/>
              <w:jc w:val="left"/>
              <w:rPr>
                <w:sz w:val="18"/>
                <w:szCs w:val="18"/>
              </w:rPr>
            </w:pPr>
            <w:r>
              <w:rPr>
                <w:sz w:val="18"/>
                <w:szCs w:val="18"/>
              </w:rPr>
              <w:t>Savjetovanje o zdravim stilovima života</w:t>
            </w:r>
            <w:r>
              <w:rPr>
                <w:spacing w:val="-6"/>
                <w:sz w:val="18"/>
                <w:szCs w:val="18"/>
              </w:rPr>
              <w:t xml:space="preserve"> – </w:t>
            </w:r>
            <w:r>
              <w:rPr>
                <w:sz w:val="18"/>
                <w:szCs w:val="18"/>
              </w:rPr>
              <w:t xml:space="preserve">edukacijsko-rehabilitacijsko </w:t>
            </w:r>
          </w:p>
        </w:tc>
        <w:tc>
          <w:tcPr>
            <w:tcW w:w="2347" w:type="pct"/>
            <w:tcBorders>
              <w:top w:val="single" w:color="auto" w:sz="4" w:space="0"/>
              <w:left w:val="nil"/>
              <w:bottom w:val="single" w:color="auto" w:sz="4" w:space="0"/>
              <w:right w:val="single" w:color="auto" w:sz="4" w:space="0"/>
            </w:tcBorders>
            <w:shd w:val="clear" w:color="auto" w:fill="auto"/>
            <w:vAlign w:val="center"/>
          </w:tcPr>
          <w:p w14:paraId="2FFE43F8">
            <w:pPr>
              <w:pStyle w:val="150"/>
              <w:jc w:val="left"/>
              <w:rPr>
                <w:sz w:val="18"/>
                <w:szCs w:val="18"/>
              </w:rPr>
            </w:pPr>
            <w:r>
              <w:rPr>
                <w:sz w:val="18"/>
                <w:szCs w:val="18"/>
              </w:rPr>
              <w:t>Kratko (10 min.)</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88257A3">
            <w:pPr>
              <w:pStyle w:val="150"/>
              <w:rPr>
                <w:sz w:val="18"/>
                <w:szCs w:val="18"/>
              </w:rPr>
            </w:pPr>
            <w:r>
              <w:rPr>
                <w:sz w:val="18"/>
                <w:szCs w:val="18"/>
              </w:rPr>
              <w:t>363</w:t>
            </w:r>
          </w:p>
        </w:tc>
        <w:tc>
          <w:tcPr>
            <w:tcW w:w="701" w:type="pct"/>
            <w:tcBorders>
              <w:top w:val="single" w:color="auto" w:sz="4" w:space="0"/>
              <w:left w:val="nil"/>
              <w:bottom w:val="single" w:color="auto" w:sz="4" w:space="0"/>
              <w:right w:val="single" w:color="auto" w:sz="4" w:space="0"/>
            </w:tcBorders>
            <w:shd w:val="clear" w:color="auto" w:fill="auto"/>
            <w:noWrap/>
            <w:vAlign w:val="center"/>
          </w:tcPr>
          <w:p w14:paraId="4B68DA30">
            <w:pPr>
              <w:pStyle w:val="150"/>
              <w:rPr>
                <w:sz w:val="18"/>
                <w:szCs w:val="18"/>
              </w:rPr>
            </w:pPr>
            <w:r>
              <w:rPr>
                <w:sz w:val="18"/>
                <w:szCs w:val="18"/>
              </w:rPr>
              <w:t>400</w:t>
            </w:r>
          </w:p>
        </w:tc>
      </w:tr>
      <w:tr w14:paraId="5E7FAB65">
        <w:tblPrEx>
          <w:tblCellMar>
            <w:top w:w="0" w:type="dxa"/>
            <w:left w:w="108" w:type="dxa"/>
            <w:bottom w:w="0" w:type="dxa"/>
            <w:right w:w="108" w:type="dxa"/>
          </w:tblCellMar>
        </w:tblPrEx>
        <w:trPr>
          <w:trHeight w:val="435" w:hRule="atLeast"/>
          <w:jc w:val="center"/>
        </w:trPr>
        <w:tc>
          <w:tcPr>
            <w:tcW w:w="1248" w:type="pct"/>
            <w:vMerge w:val="continue"/>
            <w:tcBorders>
              <w:left w:val="single" w:color="auto" w:sz="4" w:space="0"/>
              <w:bottom w:val="single" w:color="auto" w:sz="4" w:space="0"/>
              <w:right w:val="single" w:color="auto" w:sz="4" w:space="0"/>
            </w:tcBorders>
            <w:shd w:val="clear" w:color="auto" w:fill="auto"/>
            <w:vAlign w:val="center"/>
          </w:tcPr>
          <w:p w14:paraId="2DA2F159">
            <w:pPr>
              <w:pStyle w:val="150"/>
              <w:jc w:val="left"/>
              <w:rPr>
                <w:sz w:val="18"/>
                <w:szCs w:val="18"/>
              </w:rPr>
            </w:pPr>
          </w:p>
        </w:tc>
        <w:tc>
          <w:tcPr>
            <w:tcW w:w="2347" w:type="pct"/>
            <w:tcBorders>
              <w:top w:val="single" w:color="auto" w:sz="4" w:space="0"/>
              <w:left w:val="nil"/>
              <w:bottom w:val="single" w:color="auto" w:sz="4" w:space="0"/>
              <w:right w:val="single" w:color="auto" w:sz="4" w:space="0"/>
            </w:tcBorders>
            <w:shd w:val="clear" w:color="auto" w:fill="auto"/>
            <w:vAlign w:val="center"/>
          </w:tcPr>
          <w:p w14:paraId="5F11B095">
            <w:pPr>
              <w:pStyle w:val="150"/>
              <w:jc w:val="left"/>
              <w:rPr>
                <w:sz w:val="18"/>
                <w:szCs w:val="18"/>
              </w:rPr>
            </w:pPr>
            <w:r>
              <w:rPr>
                <w:sz w:val="18"/>
                <w:szCs w:val="18"/>
              </w:rPr>
              <w:t>Savjetovanje (1. posjet, kontrola)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44B02862">
            <w:pPr>
              <w:pStyle w:val="150"/>
              <w:rPr>
                <w:sz w:val="18"/>
                <w:szCs w:val="18"/>
              </w:rPr>
            </w:pPr>
            <w:r>
              <w:rPr>
                <w:sz w:val="18"/>
                <w:szCs w:val="18"/>
              </w:rPr>
              <w:t>135</w:t>
            </w:r>
          </w:p>
        </w:tc>
        <w:tc>
          <w:tcPr>
            <w:tcW w:w="701" w:type="pct"/>
            <w:tcBorders>
              <w:top w:val="single" w:color="auto" w:sz="4" w:space="0"/>
              <w:left w:val="nil"/>
              <w:bottom w:val="single" w:color="auto" w:sz="4" w:space="0"/>
              <w:right w:val="single" w:color="auto" w:sz="4" w:space="0"/>
            </w:tcBorders>
            <w:shd w:val="clear" w:color="auto" w:fill="auto"/>
            <w:noWrap/>
            <w:vAlign w:val="center"/>
          </w:tcPr>
          <w:p w14:paraId="350A12CA">
            <w:pPr>
              <w:pStyle w:val="150"/>
              <w:rPr>
                <w:sz w:val="18"/>
                <w:szCs w:val="18"/>
              </w:rPr>
            </w:pPr>
            <w:r>
              <w:rPr>
                <w:sz w:val="18"/>
                <w:szCs w:val="18"/>
              </w:rPr>
              <w:t>180</w:t>
            </w:r>
          </w:p>
        </w:tc>
      </w:tr>
      <w:tr w14:paraId="4B250F10">
        <w:tblPrEx>
          <w:tblCellMar>
            <w:top w:w="0" w:type="dxa"/>
            <w:left w:w="108" w:type="dxa"/>
            <w:bottom w:w="0" w:type="dxa"/>
            <w:right w:w="108" w:type="dxa"/>
          </w:tblCellMar>
        </w:tblPrEx>
        <w:trPr>
          <w:trHeight w:val="578"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62DF1DA0">
            <w:pPr>
              <w:pStyle w:val="150"/>
              <w:jc w:val="left"/>
              <w:rPr>
                <w:sz w:val="18"/>
                <w:szCs w:val="18"/>
              </w:rPr>
            </w:pPr>
            <w:r>
              <w:rPr>
                <w:sz w:val="18"/>
                <w:szCs w:val="18"/>
              </w:rPr>
              <w:t>Savjetovanje o zdravim stilovima života – nutricionističko</w:t>
            </w:r>
          </w:p>
        </w:tc>
        <w:tc>
          <w:tcPr>
            <w:tcW w:w="2347" w:type="pct"/>
            <w:tcBorders>
              <w:top w:val="single" w:color="auto" w:sz="4" w:space="0"/>
              <w:left w:val="nil"/>
              <w:bottom w:val="single" w:color="auto" w:sz="4" w:space="0"/>
              <w:right w:val="single" w:color="auto" w:sz="4" w:space="0"/>
            </w:tcBorders>
            <w:shd w:val="clear" w:color="auto" w:fill="auto"/>
            <w:vAlign w:val="center"/>
          </w:tcPr>
          <w:p w14:paraId="24807E75">
            <w:pPr>
              <w:pStyle w:val="150"/>
              <w:jc w:val="left"/>
              <w:rPr>
                <w:sz w:val="18"/>
                <w:szCs w:val="18"/>
              </w:rPr>
            </w:pPr>
            <w:r>
              <w:rPr>
                <w:sz w:val="18"/>
                <w:szCs w:val="18"/>
              </w:rPr>
              <w:t>Kratko (10 min.)</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70802797">
            <w:pPr>
              <w:pStyle w:val="150"/>
              <w:rPr>
                <w:sz w:val="18"/>
                <w:szCs w:val="18"/>
              </w:rPr>
            </w:pPr>
            <w:r>
              <w:rPr>
                <w:sz w:val="18"/>
                <w:szCs w:val="18"/>
              </w:rPr>
              <w:t>81</w:t>
            </w:r>
          </w:p>
        </w:tc>
        <w:tc>
          <w:tcPr>
            <w:tcW w:w="701" w:type="pct"/>
            <w:tcBorders>
              <w:top w:val="single" w:color="auto" w:sz="4" w:space="0"/>
              <w:left w:val="nil"/>
              <w:bottom w:val="single" w:color="auto" w:sz="4" w:space="0"/>
              <w:right w:val="single" w:color="auto" w:sz="4" w:space="0"/>
            </w:tcBorders>
            <w:shd w:val="clear" w:color="auto" w:fill="auto"/>
            <w:noWrap/>
            <w:vAlign w:val="center"/>
          </w:tcPr>
          <w:p w14:paraId="7F7BCAEE">
            <w:pPr>
              <w:pStyle w:val="150"/>
              <w:rPr>
                <w:sz w:val="18"/>
                <w:szCs w:val="18"/>
              </w:rPr>
            </w:pPr>
            <w:r>
              <w:rPr>
                <w:sz w:val="18"/>
                <w:szCs w:val="18"/>
              </w:rPr>
              <w:t>120</w:t>
            </w:r>
          </w:p>
        </w:tc>
      </w:tr>
      <w:tr w14:paraId="7CEABAC2">
        <w:tblPrEx>
          <w:tblCellMar>
            <w:top w:w="0" w:type="dxa"/>
            <w:left w:w="108" w:type="dxa"/>
            <w:bottom w:w="0" w:type="dxa"/>
            <w:right w:w="108" w:type="dxa"/>
          </w:tblCellMar>
        </w:tblPrEx>
        <w:trPr>
          <w:trHeight w:val="577" w:hRule="atLeast"/>
          <w:jc w:val="center"/>
        </w:trPr>
        <w:tc>
          <w:tcPr>
            <w:tcW w:w="1248" w:type="pct"/>
            <w:vMerge w:val="continue"/>
            <w:tcBorders>
              <w:left w:val="single" w:color="auto" w:sz="4" w:space="0"/>
              <w:bottom w:val="single" w:color="auto" w:sz="4" w:space="0"/>
              <w:right w:val="single" w:color="auto" w:sz="4" w:space="0"/>
            </w:tcBorders>
            <w:shd w:val="clear" w:color="auto" w:fill="auto"/>
            <w:vAlign w:val="center"/>
          </w:tcPr>
          <w:p w14:paraId="67BFA35D">
            <w:pPr>
              <w:pStyle w:val="150"/>
              <w:jc w:val="left"/>
              <w:rPr>
                <w:sz w:val="18"/>
                <w:szCs w:val="18"/>
              </w:rPr>
            </w:pPr>
          </w:p>
        </w:tc>
        <w:tc>
          <w:tcPr>
            <w:tcW w:w="2347" w:type="pct"/>
            <w:tcBorders>
              <w:top w:val="single" w:color="auto" w:sz="4" w:space="0"/>
              <w:left w:val="nil"/>
              <w:bottom w:val="single" w:color="auto" w:sz="4" w:space="0"/>
              <w:right w:val="single" w:color="auto" w:sz="4" w:space="0"/>
            </w:tcBorders>
            <w:shd w:val="clear" w:color="auto" w:fill="auto"/>
            <w:vAlign w:val="center"/>
          </w:tcPr>
          <w:p w14:paraId="3DEB1CB9">
            <w:pPr>
              <w:pStyle w:val="150"/>
              <w:jc w:val="left"/>
              <w:rPr>
                <w:sz w:val="18"/>
                <w:szCs w:val="18"/>
              </w:rPr>
            </w:pPr>
            <w:r>
              <w:rPr>
                <w:sz w:val="18"/>
                <w:szCs w:val="18"/>
              </w:rPr>
              <w:t>Savjetovanje (1. posjet, kontrola)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7FB9BB4C">
            <w:pPr>
              <w:pStyle w:val="150"/>
              <w:rPr>
                <w:sz w:val="18"/>
                <w:szCs w:val="18"/>
              </w:rPr>
            </w:pPr>
            <w:r>
              <w:rPr>
                <w:sz w:val="18"/>
                <w:szCs w:val="18"/>
              </w:rPr>
              <w:t>347</w:t>
            </w:r>
          </w:p>
        </w:tc>
        <w:tc>
          <w:tcPr>
            <w:tcW w:w="701" w:type="pct"/>
            <w:tcBorders>
              <w:top w:val="single" w:color="auto" w:sz="4" w:space="0"/>
              <w:left w:val="nil"/>
              <w:bottom w:val="single" w:color="auto" w:sz="4" w:space="0"/>
              <w:right w:val="single" w:color="auto" w:sz="4" w:space="0"/>
            </w:tcBorders>
            <w:shd w:val="clear" w:color="auto" w:fill="auto"/>
            <w:noWrap/>
            <w:vAlign w:val="center"/>
          </w:tcPr>
          <w:p w14:paraId="13534780">
            <w:pPr>
              <w:pStyle w:val="150"/>
              <w:rPr>
                <w:sz w:val="18"/>
                <w:szCs w:val="18"/>
              </w:rPr>
            </w:pPr>
            <w:r>
              <w:rPr>
                <w:sz w:val="18"/>
                <w:szCs w:val="18"/>
              </w:rPr>
              <w:t>400</w:t>
            </w:r>
          </w:p>
        </w:tc>
      </w:tr>
      <w:tr w14:paraId="75AA67A3">
        <w:tblPrEx>
          <w:tblCellMar>
            <w:top w:w="0" w:type="dxa"/>
            <w:left w:w="108" w:type="dxa"/>
            <w:bottom w:w="0" w:type="dxa"/>
            <w:right w:w="108" w:type="dxa"/>
          </w:tblCellMar>
        </w:tblPrEx>
        <w:trPr>
          <w:trHeight w:val="567" w:hRule="atLeast"/>
          <w:jc w:val="center"/>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14:paraId="540BACB2">
            <w:pPr>
              <w:pStyle w:val="150"/>
              <w:jc w:val="left"/>
              <w:rPr>
                <w:sz w:val="18"/>
                <w:szCs w:val="18"/>
              </w:rPr>
            </w:pPr>
            <w:r>
              <w:rPr>
                <w:sz w:val="18"/>
                <w:szCs w:val="18"/>
              </w:rPr>
              <w:t>Proviđenje testova intolerancije na hranu</w:t>
            </w:r>
          </w:p>
        </w:tc>
        <w:tc>
          <w:tcPr>
            <w:tcW w:w="2347" w:type="pct"/>
            <w:tcBorders>
              <w:top w:val="single" w:color="auto" w:sz="4" w:space="0"/>
              <w:left w:val="nil"/>
              <w:bottom w:val="single" w:color="auto" w:sz="4" w:space="0"/>
              <w:right w:val="single" w:color="auto" w:sz="4" w:space="0"/>
            </w:tcBorders>
            <w:vAlign w:val="center"/>
          </w:tcPr>
          <w:p w14:paraId="5EED0B31">
            <w:pPr>
              <w:pStyle w:val="150"/>
              <w:jc w:val="left"/>
              <w:rPr>
                <w:sz w:val="18"/>
                <w:szCs w:val="18"/>
              </w:rPr>
            </w:pPr>
            <w:r>
              <w:rPr>
                <w:sz w:val="18"/>
                <w:szCs w:val="18"/>
              </w:rPr>
              <w:t>Testovi intolerancije na hranu</w:t>
            </w:r>
          </w:p>
        </w:tc>
        <w:tc>
          <w:tcPr>
            <w:tcW w:w="704" w:type="pct"/>
            <w:tcBorders>
              <w:top w:val="nil"/>
              <w:left w:val="single" w:color="auto" w:sz="4" w:space="0"/>
              <w:bottom w:val="single" w:color="auto" w:sz="4" w:space="0"/>
              <w:right w:val="single" w:color="auto" w:sz="4" w:space="0"/>
            </w:tcBorders>
            <w:shd w:val="clear" w:color="auto" w:fill="auto"/>
            <w:vAlign w:val="center"/>
          </w:tcPr>
          <w:p w14:paraId="46D35189">
            <w:pPr>
              <w:pStyle w:val="150"/>
              <w:rPr>
                <w:sz w:val="18"/>
                <w:szCs w:val="18"/>
              </w:rPr>
            </w:pPr>
            <w:r>
              <w:rPr>
                <w:sz w:val="18"/>
                <w:szCs w:val="18"/>
              </w:rPr>
              <w:t>134</w:t>
            </w:r>
          </w:p>
        </w:tc>
        <w:tc>
          <w:tcPr>
            <w:tcW w:w="701" w:type="pct"/>
            <w:tcBorders>
              <w:top w:val="nil"/>
              <w:left w:val="nil"/>
              <w:bottom w:val="single" w:color="auto" w:sz="4" w:space="0"/>
              <w:right w:val="single" w:color="auto" w:sz="4" w:space="0"/>
            </w:tcBorders>
            <w:shd w:val="clear" w:color="auto" w:fill="auto"/>
            <w:noWrap/>
            <w:vAlign w:val="center"/>
          </w:tcPr>
          <w:p w14:paraId="33EBBC7A">
            <w:pPr>
              <w:pStyle w:val="150"/>
              <w:rPr>
                <w:sz w:val="18"/>
                <w:szCs w:val="18"/>
              </w:rPr>
            </w:pPr>
            <w:r>
              <w:rPr>
                <w:sz w:val="18"/>
                <w:szCs w:val="18"/>
              </w:rPr>
              <w:t>190</w:t>
            </w:r>
          </w:p>
        </w:tc>
      </w:tr>
      <w:tr w14:paraId="2673A04E">
        <w:tblPrEx>
          <w:tblCellMar>
            <w:top w:w="0" w:type="dxa"/>
            <w:left w:w="108" w:type="dxa"/>
            <w:bottom w:w="0" w:type="dxa"/>
            <w:right w:w="108" w:type="dxa"/>
          </w:tblCellMar>
        </w:tblPrEx>
        <w:trPr>
          <w:trHeight w:val="567" w:hRule="atLeast"/>
          <w:jc w:val="center"/>
        </w:trPr>
        <w:tc>
          <w:tcPr>
            <w:tcW w:w="1248" w:type="pct"/>
            <w:vMerge w:val="restart"/>
            <w:tcBorders>
              <w:top w:val="single" w:color="auto" w:sz="4" w:space="0"/>
              <w:left w:val="single" w:color="auto" w:sz="4" w:space="0"/>
              <w:right w:val="single" w:color="auto" w:sz="4" w:space="0"/>
            </w:tcBorders>
            <w:shd w:val="clear" w:color="auto" w:fill="auto"/>
            <w:vAlign w:val="center"/>
          </w:tcPr>
          <w:p w14:paraId="2556D7D2">
            <w:pPr>
              <w:pStyle w:val="150"/>
              <w:jc w:val="left"/>
              <w:rPr>
                <w:sz w:val="18"/>
                <w:szCs w:val="18"/>
              </w:rPr>
            </w:pPr>
            <w:r>
              <w:rPr>
                <w:sz w:val="18"/>
                <w:szCs w:val="18"/>
              </w:rPr>
              <w:t>Liječničko savjetovanje</w:t>
            </w:r>
          </w:p>
        </w:tc>
        <w:tc>
          <w:tcPr>
            <w:tcW w:w="2347" w:type="pct"/>
            <w:tcBorders>
              <w:top w:val="single" w:color="auto" w:sz="4" w:space="0"/>
              <w:left w:val="nil"/>
              <w:bottom w:val="single" w:color="auto" w:sz="4" w:space="0"/>
              <w:right w:val="single" w:color="auto" w:sz="4" w:space="0"/>
            </w:tcBorders>
            <w:vAlign w:val="center"/>
          </w:tcPr>
          <w:p w14:paraId="0FA253A8">
            <w:pPr>
              <w:pStyle w:val="150"/>
              <w:jc w:val="left"/>
              <w:rPr>
                <w:sz w:val="18"/>
                <w:szCs w:val="18"/>
              </w:rPr>
            </w:pPr>
            <w:r>
              <w:rPr>
                <w:sz w:val="18"/>
                <w:szCs w:val="18"/>
              </w:rPr>
              <w:t>Kratko (10 min.)</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17008A1">
            <w:pPr>
              <w:pStyle w:val="150"/>
              <w:rPr>
                <w:sz w:val="18"/>
                <w:szCs w:val="18"/>
              </w:rPr>
            </w:pPr>
            <w:r>
              <w:rPr>
                <w:sz w:val="18"/>
                <w:szCs w:val="18"/>
              </w:rPr>
              <w:t>350</w:t>
            </w:r>
          </w:p>
        </w:tc>
        <w:tc>
          <w:tcPr>
            <w:tcW w:w="701" w:type="pct"/>
            <w:tcBorders>
              <w:top w:val="single" w:color="auto" w:sz="4" w:space="0"/>
              <w:left w:val="nil"/>
              <w:bottom w:val="single" w:color="auto" w:sz="4" w:space="0"/>
              <w:right w:val="single" w:color="auto" w:sz="4" w:space="0"/>
            </w:tcBorders>
            <w:shd w:val="clear" w:color="auto" w:fill="auto"/>
            <w:noWrap/>
            <w:vAlign w:val="center"/>
          </w:tcPr>
          <w:p w14:paraId="2207F5F6">
            <w:pPr>
              <w:pStyle w:val="150"/>
              <w:rPr>
                <w:sz w:val="18"/>
                <w:szCs w:val="18"/>
              </w:rPr>
            </w:pPr>
            <w:r>
              <w:rPr>
                <w:sz w:val="18"/>
                <w:szCs w:val="18"/>
              </w:rPr>
              <w:t>370</w:t>
            </w:r>
          </w:p>
        </w:tc>
      </w:tr>
      <w:tr w14:paraId="635D0AEA">
        <w:tblPrEx>
          <w:tblCellMar>
            <w:top w:w="0" w:type="dxa"/>
            <w:left w:w="108" w:type="dxa"/>
            <w:bottom w:w="0" w:type="dxa"/>
            <w:right w:w="108" w:type="dxa"/>
          </w:tblCellMar>
        </w:tblPrEx>
        <w:trPr>
          <w:trHeight w:val="567" w:hRule="atLeast"/>
          <w:jc w:val="center"/>
        </w:trPr>
        <w:tc>
          <w:tcPr>
            <w:tcW w:w="1248" w:type="pct"/>
            <w:vMerge w:val="continue"/>
            <w:tcBorders>
              <w:left w:val="single" w:color="auto" w:sz="4" w:space="0"/>
              <w:bottom w:val="single" w:color="auto" w:sz="4" w:space="0"/>
              <w:right w:val="single" w:color="auto" w:sz="4" w:space="0"/>
            </w:tcBorders>
            <w:shd w:val="clear" w:color="auto" w:fill="auto"/>
            <w:vAlign w:val="center"/>
          </w:tcPr>
          <w:p w14:paraId="3CD9A42E">
            <w:pPr>
              <w:pStyle w:val="150"/>
              <w:jc w:val="left"/>
              <w:rPr>
                <w:sz w:val="18"/>
                <w:szCs w:val="18"/>
              </w:rPr>
            </w:pPr>
          </w:p>
        </w:tc>
        <w:tc>
          <w:tcPr>
            <w:tcW w:w="2347" w:type="pct"/>
            <w:tcBorders>
              <w:top w:val="single" w:color="auto" w:sz="4" w:space="0"/>
              <w:left w:val="nil"/>
              <w:bottom w:val="single" w:color="auto" w:sz="4" w:space="0"/>
              <w:right w:val="single" w:color="auto" w:sz="4" w:space="0"/>
            </w:tcBorders>
            <w:vAlign w:val="center"/>
          </w:tcPr>
          <w:p w14:paraId="047C5C5F">
            <w:pPr>
              <w:pStyle w:val="150"/>
              <w:jc w:val="left"/>
              <w:rPr>
                <w:sz w:val="18"/>
                <w:szCs w:val="18"/>
              </w:rPr>
            </w:pPr>
            <w:r>
              <w:rPr>
                <w:sz w:val="18"/>
                <w:szCs w:val="18"/>
              </w:rPr>
              <w:t>Savjetovanje (1. posjet, kontrola)</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31F04BF4">
            <w:pPr>
              <w:pStyle w:val="150"/>
              <w:rPr>
                <w:sz w:val="18"/>
                <w:szCs w:val="18"/>
              </w:rPr>
            </w:pPr>
            <w:r>
              <w:rPr>
                <w:sz w:val="18"/>
                <w:szCs w:val="18"/>
              </w:rPr>
              <w:t>130</w:t>
            </w:r>
          </w:p>
        </w:tc>
        <w:tc>
          <w:tcPr>
            <w:tcW w:w="701" w:type="pct"/>
            <w:tcBorders>
              <w:top w:val="single" w:color="auto" w:sz="4" w:space="0"/>
              <w:left w:val="nil"/>
              <w:bottom w:val="single" w:color="auto" w:sz="4" w:space="0"/>
              <w:right w:val="single" w:color="auto" w:sz="4" w:space="0"/>
            </w:tcBorders>
            <w:shd w:val="clear" w:color="auto" w:fill="auto"/>
            <w:noWrap/>
            <w:vAlign w:val="center"/>
          </w:tcPr>
          <w:p w14:paraId="6A9EA641">
            <w:pPr>
              <w:pStyle w:val="150"/>
              <w:rPr>
                <w:sz w:val="18"/>
                <w:szCs w:val="18"/>
              </w:rPr>
            </w:pPr>
            <w:r>
              <w:rPr>
                <w:sz w:val="18"/>
                <w:szCs w:val="18"/>
              </w:rPr>
              <w:t>150</w:t>
            </w:r>
          </w:p>
        </w:tc>
      </w:tr>
      <w:tr w14:paraId="63703E9D">
        <w:tblPrEx>
          <w:tblCellMar>
            <w:top w:w="0" w:type="dxa"/>
            <w:left w:w="108" w:type="dxa"/>
            <w:bottom w:w="0" w:type="dxa"/>
            <w:right w:w="108" w:type="dxa"/>
          </w:tblCellMar>
        </w:tblPrEx>
        <w:trPr>
          <w:trHeight w:val="567" w:hRule="atLeast"/>
          <w:jc w:val="center"/>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14:paraId="0378A427">
            <w:pPr>
              <w:pStyle w:val="150"/>
              <w:jc w:val="left"/>
              <w:rPr>
                <w:sz w:val="18"/>
                <w:szCs w:val="18"/>
              </w:rPr>
            </w:pPr>
            <w:r>
              <w:rPr>
                <w:sz w:val="18"/>
                <w:szCs w:val="18"/>
              </w:rPr>
              <w:t>Javnozdravstvene radionice</w:t>
            </w:r>
          </w:p>
        </w:tc>
        <w:tc>
          <w:tcPr>
            <w:tcW w:w="2347" w:type="pct"/>
            <w:tcBorders>
              <w:top w:val="single" w:color="auto" w:sz="4" w:space="0"/>
              <w:left w:val="nil"/>
              <w:bottom w:val="single" w:color="auto" w:sz="4" w:space="0"/>
              <w:right w:val="single" w:color="auto" w:sz="4" w:space="0"/>
            </w:tcBorders>
            <w:vAlign w:val="center"/>
          </w:tcPr>
          <w:p w14:paraId="463E2A49">
            <w:pPr>
              <w:pStyle w:val="150"/>
              <w:jc w:val="left"/>
              <w:rPr>
                <w:sz w:val="18"/>
                <w:szCs w:val="18"/>
              </w:rPr>
            </w:pPr>
            <w:r>
              <w:rPr>
                <w:sz w:val="18"/>
                <w:szCs w:val="18"/>
              </w:rPr>
              <w:t>Edukacija opće populacije</w:t>
            </w:r>
          </w:p>
        </w:tc>
        <w:tc>
          <w:tcPr>
            <w:tcW w:w="704" w:type="pct"/>
            <w:tcBorders>
              <w:top w:val="nil"/>
              <w:left w:val="single" w:color="auto" w:sz="4" w:space="0"/>
              <w:bottom w:val="single" w:color="auto" w:sz="4" w:space="0"/>
              <w:right w:val="single" w:color="auto" w:sz="4" w:space="0"/>
            </w:tcBorders>
            <w:shd w:val="clear" w:color="auto" w:fill="auto"/>
            <w:vAlign w:val="center"/>
          </w:tcPr>
          <w:p w14:paraId="59E8FC3F">
            <w:pPr>
              <w:pStyle w:val="150"/>
              <w:rPr>
                <w:sz w:val="18"/>
                <w:szCs w:val="18"/>
              </w:rPr>
            </w:pPr>
            <w:r>
              <w:rPr>
                <w:sz w:val="18"/>
                <w:szCs w:val="18"/>
              </w:rPr>
              <w:t>61</w:t>
            </w:r>
          </w:p>
        </w:tc>
        <w:tc>
          <w:tcPr>
            <w:tcW w:w="701" w:type="pct"/>
            <w:tcBorders>
              <w:top w:val="nil"/>
              <w:left w:val="nil"/>
              <w:bottom w:val="single" w:color="auto" w:sz="4" w:space="0"/>
              <w:right w:val="single" w:color="auto" w:sz="4" w:space="0"/>
            </w:tcBorders>
            <w:shd w:val="clear" w:color="auto" w:fill="auto"/>
            <w:noWrap/>
            <w:vAlign w:val="center"/>
          </w:tcPr>
          <w:p w14:paraId="5A21F2E6">
            <w:pPr>
              <w:pStyle w:val="150"/>
              <w:rPr>
                <w:sz w:val="18"/>
                <w:szCs w:val="18"/>
              </w:rPr>
            </w:pPr>
            <w:r>
              <w:rPr>
                <w:sz w:val="18"/>
                <w:szCs w:val="18"/>
              </w:rPr>
              <w:t>40</w:t>
            </w:r>
          </w:p>
        </w:tc>
      </w:tr>
      <w:tr w14:paraId="04B45A7D">
        <w:tblPrEx>
          <w:tblCellMar>
            <w:top w:w="0" w:type="dxa"/>
            <w:left w:w="108" w:type="dxa"/>
            <w:bottom w:w="0" w:type="dxa"/>
            <w:right w:w="108" w:type="dxa"/>
          </w:tblCellMar>
        </w:tblPrEx>
        <w:trPr>
          <w:trHeight w:val="567" w:hRule="atLeast"/>
          <w:jc w:val="center"/>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14:paraId="641EFDCD">
            <w:pPr>
              <w:pStyle w:val="150"/>
              <w:jc w:val="left"/>
              <w:rPr>
                <w:sz w:val="18"/>
                <w:szCs w:val="18"/>
              </w:rPr>
            </w:pPr>
            <w:r>
              <w:rPr>
                <w:sz w:val="18"/>
                <w:szCs w:val="18"/>
              </w:rPr>
              <w:t>Predavanja</w:t>
            </w:r>
          </w:p>
        </w:tc>
        <w:tc>
          <w:tcPr>
            <w:tcW w:w="2347" w:type="pct"/>
            <w:tcBorders>
              <w:top w:val="single" w:color="auto" w:sz="4" w:space="0"/>
              <w:left w:val="nil"/>
              <w:bottom w:val="single" w:color="auto" w:sz="4" w:space="0"/>
              <w:right w:val="single" w:color="auto" w:sz="4" w:space="0"/>
            </w:tcBorders>
            <w:vAlign w:val="center"/>
          </w:tcPr>
          <w:p w14:paraId="13FB897A">
            <w:pPr>
              <w:pStyle w:val="150"/>
              <w:jc w:val="left"/>
              <w:rPr>
                <w:sz w:val="18"/>
                <w:szCs w:val="18"/>
              </w:rPr>
            </w:pPr>
            <w:r>
              <w:rPr>
                <w:sz w:val="18"/>
                <w:szCs w:val="18"/>
              </w:rPr>
              <w:t>Edukacije opće i stručne populacije</w:t>
            </w:r>
          </w:p>
        </w:tc>
        <w:tc>
          <w:tcPr>
            <w:tcW w:w="704" w:type="pct"/>
            <w:tcBorders>
              <w:top w:val="nil"/>
              <w:left w:val="single" w:color="auto" w:sz="4" w:space="0"/>
              <w:bottom w:val="single" w:color="auto" w:sz="4" w:space="0"/>
              <w:right w:val="single" w:color="auto" w:sz="4" w:space="0"/>
            </w:tcBorders>
            <w:shd w:val="clear" w:color="auto" w:fill="auto"/>
            <w:vAlign w:val="center"/>
          </w:tcPr>
          <w:p w14:paraId="33D5C54B">
            <w:pPr>
              <w:pStyle w:val="150"/>
              <w:rPr>
                <w:sz w:val="18"/>
                <w:szCs w:val="18"/>
              </w:rPr>
            </w:pPr>
            <w:r>
              <w:rPr>
                <w:sz w:val="18"/>
                <w:szCs w:val="18"/>
              </w:rPr>
              <w:t>29</w:t>
            </w:r>
          </w:p>
        </w:tc>
        <w:tc>
          <w:tcPr>
            <w:tcW w:w="701" w:type="pct"/>
            <w:tcBorders>
              <w:top w:val="nil"/>
              <w:left w:val="nil"/>
              <w:bottom w:val="single" w:color="auto" w:sz="4" w:space="0"/>
              <w:right w:val="single" w:color="auto" w:sz="4" w:space="0"/>
            </w:tcBorders>
            <w:shd w:val="clear" w:color="auto" w:fill="auto"/>
            <w:noWrap/>
            <w:vAlign w:val="center"/>
          </w:tcPr>
          <w:p w14:paraId="2AFE9C06">
            <w:pPr>
              <w:pStyle w:val="150"/>
              <w:rPr>
                <w:sz w:val="18"/>
                <w:szCs w:val="18"/>
              </w:rPr>
            </w:pPr>
            <w:r>
              <w:rPr>
                <w:sz w:val="18"/>
                <w:szCs w:val="18"/>
              </w:rPr>
              <w:t>35</w:t>
            </w:r>
          </w:p>
        </w:tc>
      </w:tr>
      <w:tr w14:paraId="3AA47987">
        <w:tblPrEx>
          <w:tblCellMar>
            <w:top w:w="0" w:type="dxa"/>
            <w:left w:w="108" w:type="dxa"/>
            <w:bottom w:w="0" w:type="dxa"/>
            <w:right w:w="108" w:type="dxa"/>
          </w:tblCellMar>
        </w:tblPrEx>
        <w:trPr>
          <w:trHeight w:val="567" w:hRule="atLeast"/>
          <w:jc w:val="center"/>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14:paraId="16002BC1">
            <w:pPr>
              <w:pStyle w:val="150"/>
              <w:jc w:val="left"/>
              <w:rPr>
                <w:sz w:val="18"/>
                <w:szCs w:val="18"/>
              </w:rPr>
            </w:pPr>
            <w:r>
              <w:rPr>
                <w:sz w:val="18"/>
                <w:szCs w:val="18"/>
              </w:rPr>
              <w:t>Publikacije</w:t>
            </w:r>
          </w:p>
        </w:tc>
        <w:tc>
          <w:tcPr>
            <w:tcW w:w="2347" w:type="pct"/>
            <w:tcBorders>
              <w:top w:val="single" w:color="auto" w:sz="4" w:space="0"/>
              <w:left w:val="nil"/>
              <w:bottom w:val="single" w:color="auto" w:sz="4" w:space="0"/>
              <w:right w:val="single" w:color="auto" w:sz="4" w:space="0"/>
            </w:tcBorders>
            <w:vAlign w:val="center"/>
          </w:tcPr>
          <w:p w14:paraId="1F9B4363">
            <w:pPr>
              <w:pStyle w:val="150"/>
              <w:jc w:val="left"/>
              <w:rPr>
                <w:sz w:val="18"/>
                <w:szCs w:val="18"/>
              </w:rPr>
            </w:pPr>
            <w:r>
              <w:rPr>
                <w:sz w:val="18"/>
                <w:szCs w:val="18"/>
              </w:rPr>
              <w:t>Časopis, znanstveni rad, stručni rad, promotivni materijal – edukacija opće i stručne populacije</w:t>
            </w:r>
          </w:p>
        </w:tc>
        <w:tc>
          <w:tcPr>
            <w:tcW w:w="704" w:type="pct"/>
            <w:tcBorders>
              <w:top w:val="nil"/>
              <w:left w:val="single" w:color="auto" w:sz="4" w:space="0"/>
              <w:bottom w:val="single" w:color="auto" w:sz="4" w:space="0"/>
              <w:right w:val="single" w:color="auto" w:sz="4" w:space="0"/>
            </w:tcBorders>
            <w:shd w:val="clear" w:color="auto" w:fill="auto"/>
            <w:vAlign w:val="center"/>
          </w:tcPr>
          <w:p w14:paraId="2274F041">
            <w:pPr>
              <w:pStyle w:val="150"/>
              <w:rPr>
                <w:sz w:val="18"/>
                <w:szCs w:val="18"/>
              </w:rPr>
            </w:pPr>
            <w:r>
              <w:rPr>
                <w:sz w:val="18"/>
                <w:szCs w:val="18"/>
              </w:rPr>
              <w:t>9</w:t>
            </w:r>
          </w:p>
        </w:tc>
        <w:tc>
          <w:tcPr>
            <w:tcW w:w="701" w:type="pct"/>
            <w:tcBorders>
              <w:top w:val="nil"/>
              <w:left w:val="nil"/>
              <w:bottom w:val="single" w:color="auto" w:sz="4" w:space="0"/>
              <w:right w:val="single" w:color="auto" w:sz="4" w:space="0"/>
            </w:tcBorders>
            <w:shd w:val="clear" w:color="auto" w:fill="auto"/>
            <w:noWrap/>
            <w:vAlign w:val="center"/>
          </w:tcPr>
          <w:p w14:paraId="7B31A56E">
            <w:pPr>
              <w:pStyle w:val="150"/>
              <w:rPr>
                <w:sz w:val="18"/>
                <w:szCs w:val="18"/>
              </w:rPr>
            </w:pPr>
            <w:r>
              <w:rPr>
                <w:sz w:val="18"/>
                <w:szCs w:val="18"/>
              </w:rPr>
              <w:t>15</w:t>
            </w:r>
          </w:p>
        </w:tc>
      </w:tr>
    </w:tbl>
    <w:p w14:paraId="1E11CC19"/>
    <w:p w14:paraId="697B2970">
      <w:pPr>
        <w:rPr>
          <w:bCs/>
        </w:rPr>
      </w:pPr>
      <w:r>
        <w:rPr>
          <w:bCs/>
        </w:rPr>
        <w:t>Napomena: veći broj realiziranih radionica odgovara povećanom broju radionica „Vježbanje na radnom mjestu“ tijekom godine.</w:t>
      </w:r>
    </w:p>
    <w:p w14:paraId="10C05313">
      <w:r>
        <w:rPr>
          <w:bCs/>
        </w:rPr>
        <w:t>Kratka savjetovanja odnose se na informativne aktivnosti/savjetovanja koja se u najvećoj mjeri provode uz javnozdravstvene akcije.</w:t>
      </w:r>
      <w:r>
        <w:br w:type="page"/>
      </w:r>
    </w:p>
    <w:p w14:paraId="65DAB3E9"/>
    <w:p w14:paraId="1234E962">
      <w:pPr>
        <w:pStyle w:val="2"/>
      </w:pPr>
      <w:bookmarkStart w:id="23" w:name="_Toc84862504"/>
      <w:bookmarkStart w:id="24" w:name="_Toc184821164"/>
      <w:r>
        <w:t>6. Služba za javnozdravstvenu gerontologiju</w:t>
      </w:r>
      <w:bookmarkEnd w:id="23"/>
      <w:bookmarkEnd w:id="24"/>
    </w:p>
    <w:p w14:paraId="12EA121F"/>
    <w:p w14:paraId="04AD5ED3">
      <w:pPr>
        <w:pStyle w:val="147"/>
      </w:pPr>
      <w:r>
        <w:t>SAŽETAK DJELOKRUGA RADA</w:t>
      </w:r>
    </w:p>
    <w:p w14:paraId="0A1B6EC4">
      <w:r>
        <w:t>Gerontološko-javnozdravstvena djelatnost obuhvaća četiri redovita područja:</w:t>
      </w:r>
    </w:p>
    <w:p w14:paraId="5E2D7F97">
      <w:pPr>
        <w:pStyle w:val="52"/>
        <w:numPr>
          <w:ilvl w:val="0"/>
          <w:numId w:val="37"/>
        </w:numPr>
      </w:pPr>
      <w:r>
        <w:t>praćenje, proučavanje, evaluacija, planiranje, projekcija te izvještavanje o zdravstvenim potrebama i funkcionalnoj sposobnosti starijih osoba u ranijoj (65 do 74 godine), srednjoj (75 do 84 godina) i dubokoj starosti (85 i više godina) na razini županija, Grada Zagreba i Republike Hrvatske</w:t>
      </w:r>
    </w:p>
    <w:p w14:paraId="54BAD7A3">
      <w:pPr>
        <w:pStyle w:val="52"/>
        <w:numPr>
          <w:ilvl w:val="0"/>
          <w:numId w:val="37"/>
        </w:numPr>
      </w:pPr>
      <w:r>
        <w:t>koordinacija, stručno-metodološka pomoć, edukacija provoditelja zaštite zdravlja i zdravstvene zaštite starijih u institucijskoj i izvaninstitucijskoj skrbi za starije; trajna edukacija iz gerontologije, gerijatrije i gerijatrijske zdravstvene njege putem gerontoloških tribina, gerontoloških tečajeva, škola, radionica, kongresa i simpozija interdisciplinarnim gerontološkim pristupom</w:t>
      </w:r>
    </w:p>
    <w:p w14:paraId="72202D69">
      <w:pPr>
        <w:pStyle w:val="52"/>
        <w:numPr>
          <w:ilvl w:val="0"/>
          <w:numId w:val="37"/>
        </w:numPr>
        <w:rPr>
          <w:spacing w:val="-6"/>
        </w:rPr>
      </w:pPr>
      <w:r>
        <w:rPr>
          <w:spacing w:val="-6"/>
        </w:rPr>
        <w:t>izrada, evaluacija, planiranje, predlaganje Programa/normi zdravstvenih mjera i postupaka u zaštiti zdravlja starijih i Programa osnovnih geroprofilaktičkih mjera primarne, sekundarne, tercijarne i kvartarne prevencije s Vodičem uputa za aktivno zdravo i produktivno starenje te izrada gerontološko-javnozdravstvenih normi i smjernica</w:t>
      </w:r>
    </w:p>
    <w:p w14:paraId="4F19C790">
      <w:pPr>
        <w:pStyle w:val="52"/>
        <w:numPr>
          <w:ilvl w:val="0"/>
          <w:numId w:val="37"/>
        </w:numPr>
      </w:pPr>
      <w:r>
        <w:t>znanstveno-istraživačka i publicistička gerontološko-javnozdravstvena djelatnost.</w:t>
      </w:r>
    </w:p>
    <w:p w14:paraId="1841FA4A"/>
    <w:p w14:paraId="35AAD391">
      <w:pPr>
        <w:pStyle w:val="147"/>
      </w:pPr>
      <w:r>
        <w:t>OBRAZLOŽENJE PROGRAMA</w:t>
      </w:r>
    </w:p>
    <w:p w14:paraId="75833405">
      <w:pPr>
        <w:rPr>
          <w:b/>
          <w:bCs/>
        </w:rPr>
      </w:pPr>
      <w:r>
        <w:rPr>
          <w:b/>
        </w:rPr>
        <w:t xml:space="preserve">Nastavak koordiniranja i organizacije cijepljenja protiv COVID-a u osoba starije životne dobi s ciljem </w:t>
      </w:r>
      <w:r>
        <w:rPr>
          <w:b/>
          <w:bCs/>
        </w:rPr>
        <w:t>održavanja visokog cjepnog obuhvata i nadzora nad oboljelim korisnicima u domovima za starije osobe.</w:t>
      </w:r>
    </w:p>
    <w:p w14:paraId="456F958F">
      <w:r>
        <w:rPr>
          <w:b/>
        </w:rPr>
        <w:t>Gerontološko-javnozdravstvena analiza strukture ciljnih pokazatelja za starije pučanstvo u ranijoj, srednjoj i dubokoj starosti po županijama Hrvatske i Grada Zagreba.</w:t>
      </w:r>
    </w:p>
    <w:p w14:paraId="64C95E99">
      <w:r>
        <w:t>Gerontološko-javnozdravstvena analiza praćenja i evaluacije zdravstvenih potreba te funkcionalne sposobnosti starijih osoba po županijama Hrvatske i Grada Zagreba u institucijskoj i izvan-institucijskoj skrbi za starije te usporedba uzroka gerijatrijskih hospitalizacija i gerijatrijske zdravstvene potrošnje, uzroka gerijatrijskog mortaliteta i komorbiditeta te očekivanog trajanja života zbog preventabilnih bolesti uz utvrđivanje rizičnih čimbenika nastanka bolesnog starenja. Priprema posebnih poglavlja za Zdravstveno statistički ljetopis Grada Zagreba i Statistički ljetopis Grada Zagreba.</w:t>
      </w:r>
    </w:p>
    <w:p w14:paraId="1C3EF0A5">
      <w:pPr>
        <w:rPr>
          <w:b/>
        </w:rPr>
      </w:pPr>
      <w:r>
        <w:rPr>
          <w:b/>
        </w:rPr>
        <w:t>Evaluacija provedbe kategorijskog postupnika po program četiri stupnja gerijatrijske zdravstvene njege sa sestrinskom dokumentacijom u domovima za starije, Hrvatska i Grad Zagreb.</w:t>
      </w:r>
    </w:p>
    <w:p w14:paraId="35A2B459">
      <w:r>
        <w:t>Primjenom kategorijskog postupnika programa Četiri stupnja gerijatrijske zdravstvene njege u domovima za starije medicinska sestra svakodnevno, ili po potrebi, u domu za starije, procjenjuje stanje gerijatrijskog bolesnika po čimbenicima praćenja, ovisno o njegovim zdravstvenim potrebama, svrstava u određenu kategoriju po definiranoj skali od 1 do 4, a odnosi se na četiri stupnja gerijatrijske zdravstvene njege.</w:t>
      </w:r>
    </w:p>
    <w:p w14:paraId="3DED7BF8">
      <w:r>
        <w:rPr>
          <w:b/>
        </w:rPr>
        <w:t>Gerontološko-javnozdravstveni pokazatelji u odabranim domovima za starije</w:t>
      </w:r>
      <w:r>
        <w:t xml:space="preserve"> analizirani putem Evidencijske liste br. 1 za praćenje zdravstvenih potreba starijih osoba u domu za starije i putem Evidencijske liste br. 4 za praćenje zdravstvenih-socijalnih potreba starijih osoba u izvan-institucijskoj skrbi za starije.</w:t>
      </w:r>
    </w:p>
    <w:p w14:paraId="5AB9B76D">
      <w:r>
        <w:t>U sklopu prvog područja praćenja i evaluacije zdravstvenih potreba korisnika domova za starije u Hrvatskoj, Gradu Zagrebu i po županijama Hrvatske nastavak praćenja i evaluacije zdravstvenih potreba gerontološkog i gerijatrijskog osiguranika po unosu u bazu gerontološko-javnozdravstvenih podataka dobivenih putem Evidencijske liste br. 1 PZP-a korisnika Doma za starije i Evidencijska lista br. 4 PZP-a Gerontološkog centra – izvaninstitucijske skrbi za starije.</w:t>
      </w:r>
    </w:p>
    <w:p w14:paraId="21BEC4BD">
      <w:r>
        <w:t>U cilju unaprjeđenja obuhvata i kvalitete podataka o zdravstveno-socijalnim potrebama starijih osiguranih osoba u domovima za starije osobe i gerontološkim centrima nastavit će se s aktivnostima potrebnim za revidiranje i unaprjeđenje sustava prikupljanja i obrade podataka iz navedenih evidencija. U 2025. godini pilotirat će se novi način prikupljanja odabranih varijabli Evidencijske liste 1.</w:t>
      </w:r>
    </w:p>
    <w:p w14:paraId="2E8E4EF8">
      <w:r>
        <w:rPr>
          <w:b/>
        </w:rPr>
        <w:t>Provedba Upitnika o praćenju pokazatelja kvalitete u domovima za starije, Hrvatska</w:t>
      </w:r>
    </w:p>
    <w:p w14:paraId="24783E70">
      <w:r>
        <w:t>Trijaža, praćenje i evaluacija zdravstvenih potreba gerontološkog i gerijatrijskog osiguranika po Upitniku o praćenju pokazatelja kvalitete u Domovima za starije.</w:t>
      </w:r>
    </w:p>
    <w:p w14:paraId="340006F6">
      <w:pPr>
        <w:rPr>
          <w:spacing w:val="-6"/>
        </w:rPr>
      </w:pPr>
      <w:r>
        <w:rPr>
          <w:b/>
          <w:spacing w:val="-6"/>
        </w:rPr>
        <w:t>Provedba stručno-metodološke pomoći koordinacije i gerontološke edukacije/gerontološke tribine, gerontološke radionice, simpoziji, tečajevi</w:t>
      </w:r>
    </w:p>
    <w:p w14:paraId="0017CEA8">
      <w:r>
        <w:t>U sklopu poslova i zadaća gerontološko-javnozdravstvene djelatnosti održavaju se redovite gerontološke tribine namijenjene stručnjacima različitog profila u skrbi za starije, a osobito timovima obiteljske medicine, medicinskim sestrama u domovima za starije te drugim stručnim profilima, a u 2025. godini planirano je organiziranje 4 gerontološke tribine.</w:t>
      </w:r>
    </w:p>
    <w:p w14:paraId="1B3CC252"/>
    <w:p w14:paraId="2C5FBADB">
      <w:r>
        <w:rPr>
          <w:b/>
        </w:rPr>
        <w:t xml:space="preserve">Nastavak suradnje nakon provedenog projekta </w:t>
      </w:r>
      <w:r>
        <w:rPr>
          <w:b/>
          <w:i/>
          <w:iCs/>
          <w:lang w:val="en-GB"/>
        </w:rPr>
        <w:t>European Innovation Partnership on Active and Healthy Ageing</w:t>
      </w:r>
    </w:p>
    <w:p w14:paraId="6F902365">
      <w:r>
        <w:t xml:space="preserve">Referentni centar MZ za zaštitu zdravlja starijih osoba – Služba za javnozdravstvenu gerontologiju NZJZ „Dr. Andrija Štampar“ kao partner Domu zdravlja Zagreb – Centar na projektu </w:t>
      </w:r>
      <w:r>
        <w:rPr>
          <w:i/>
          <w:iCs/>
        </w:rPr>
        <w:t>European Innovation Partnership on Active and Healthy Ageing</w:t>
      </w:r>
      <w:r>
        <w:t xml:space="preserve"> nastavlja suradnju na provođenju aktivnosti vezanih za zdravo i aktivno starenje.</w:t>
      </w:r>
    </w:p>
    <w:p w14:paraId="07AADE3E">
      <w:r>
        <w:rPr>
          <w:b/>
        </w:rPr>
        <w:t>Promocija Projektnog modela prehrambeno gerontoloških normi za jelovnike za domove za starije</w:t>
      </w:r>
    </w:p>
    <w:p w14:paraId="411CB070">
      <w:r>
        <w:t>U 2025. nastaviti će se promocija priručnika te implementacija gerontoloških normi za jelovnike u domovima za starije uz potporu Ministarstva zdravstva. Priručnik je tijekom 2020.g. izdan u elektronskoj verziji. Distribucija i promocija letka „Pravilna prehrana osoba starije životne dobi“ i „8 prehrambenih preporuka za osobe starije dobi“ koji su objavljeni na internetskoj stranici Zavoda. Nastavit će se izrada recepata za dnevne jelovnike za tjedno objavljivanje na društvenim mrežama Zavoda.</w:t>
      </w:r>
    </w:p>
    <w:p w14:paraId="04A99035">
      <w:pPr>
        <w:rPr>
          <w:b/>
        </w:rPr>
      </w:pPr>
      <w:r>
        <w:rPr>
          <w:b/>
        </w:rPr>
        <w:t>Sajam zdravlja: „Štampar u tvom kvartu“</w:t>
      </w:r>
    </w:p>
    <w:p w14:paraId="780DFAB9">
      <w:r>
        <w:t>U 2025. nastaviti će se serija lokalnih manifestacija koje će se održati u 6 zagrebačkih kvartova u organizaciji NZJZ “Dr. Andrija Štampar”, Gradskog ureda za socijalnu zaštitu, zdravstvo, branitelje i osobe s invaliditetom i Doma zdravlja Zagreb – Istok, Doma zdravlja Zagreb – Centar i Doma zdravlja Zagreb – Zapad u obliku „putujućeg sajma“ za građane Zagreba. Provoditi će se edukacije i radionice usmjerene na očuvanje zdravlja i podizanje kvalitete života građana svih dobnih skupina. U okviru manifestacije poseban naglasak bit će na i promociji aktivnog i zdravog starenja uz gerontološko savjetovanje.</w:t>
      </w:r>
    </w:p>
    <w:p w14:paraId="4B587142">
      <w:pPr>
        <w:rPr>
          <w:b/>
        </w:rPr>
      </w:pPr>
      <w:r>
        <w:rPr>
          <w:b/>
        </w:rPr>
        <w:t>Edukacija o racionalnoj upotrebi lijekova u domovima za starije osobe u Gradu Zagrebu</w:t>
      </w:r>
    </w:p>
    <w:p w14:paraId="1AFDDA1B">
      <w:r>
        <w:t>U 2025. započet će se Program „Edukacija o racionalnoj upotrebi lijekova u domovima za starije osobe u Gradu Zagrebu“ u organizaciji NZJZ “Dr. Andrija Štampar”, Gradskog ureda za socijalnu zaštitu, zdravstvo, branitelje i osobe s invaliditetom i decentraliziranim Domovima za starije osobe u Gradu Zagrebu. Cilj je educirati zdravstvene djelatnike o racionalnoj uporabi benzodiazepina, antidepresiva i antidementiva te analizirati njihovo korištenje u decentraliziranim domovima za starije osobe u Gradu Zagrebu te utvrditi dobnu i spolnu raspodjelu korisnika kojima su propisani ovi lijekovi. Na temelju prikupljenih podataka, dugoročni cilj je pripremiti preduvjete za izradu smjernica za racionalniju uporabu navedenih lijekova, kako bi se poboljšala sigurnost i kvaliteta života starijih osoba u domovima za starije osobe.</w:t>
      </w:r>
    </w:p>
    <w:p w14:paraId="33DC46C7">
      <w:r>
        <w:br w:type="page"/>
      </w:r>
    </w:p>
    <w:p w14:paraId="17A4EB38">
      <w:pPr>
        <w:rPr>
          <w:b/>
        </w:rPr>
      </w:pPr>
      <w:r>
        <w:rPr>
          <w:b/>
        </w:rPr>
        <w:t>Promocija zdravog i aktivnog starenja</w:t>
      </w:r>
    </w:p>
    <w:p w14:paraId="2CE079AB">
      <w:r>
        <w:t xml:space="preserve">Nastavak suradnje s Hrvatskim zavodom za javno zdravstvo i županijskim zavodima za javno zdravstvo u cilju unaprjeđenja i razvoja centara za gerontologiju te promoviranja zdravog i aktivnog starenja temeljem dokumenta Svjetske zdravstvene organizacije „Desetljeće zdravog starenja – 2020 – 2030“. Pružanje potpore udrugama i neformalnim njegovateljima koji skrbe o starijim osobama izvan institucija. </w:t>
      </w:r>
    </w:p>
    <w:p w14:paraId="2205A66D"/>
    <w:p w14:paraId="24C56791">
      <w:pPr>
        <w:pStyle w:val="147"/>
      </w:pPr>
      <w:r>
        <w:t>ZAKONSKE I DRUGE PRAVNE OSNOVE NA KOJIMA SE ZASNIVAJU PROGRAMI</w:t>
      </w:r>
    </w:p>
    <w:p w14:paraId="4422DD93">
      <w:pPr>
        <w:numPr>
          <w:ilvl w:val="0"/>
          <w:numId w:val="38"/>
        </w:numPr>
      </w:pPr>
      <w:r>
        <w:t>Pravilnik o mjerilima za dodjelu i obnovu naziva Referentnog centra Ministarstva nadležnog za zdravstva (NN 77/05, 125/08)</w:t>
      </w:r>
    </w:p>
    <w:p w14:paraId="089B1737">
      <w:pPr>
        <w:numPr>
          <w:ilvl w:val="0"/>
          <w:numId w:val="38"/>
        </w:numPr>
        <w:rPr>
          <w:spacing w:val="-4"/>
        </w:rPr>
      </w:pPr>
      <w:r>
        <w:rPr>
          <w:spacing w:val="-4"/>
        </w:rPr>
        <w:t>Zakon o zdravstvenoj zaštiti (NN 100/18, 125/19, 147/20, 119/22, 156/22,33/23, 36/24)</w:t>
      </w:r>
    </w:p>
    <w:p w14:paraId="40D63F0B">
      <w:pPr>
        <w:numPr>
          <w:ilvl w:val="0"/>
          <w:numId w:val="38"/>
        </w:numPr>
      </w:pPr>
      <w:r>
        <w:t>Zakon o zdravstvenom obveznom osiguranju (80/13, 137/13, 98/19, 33/23)</w:t>
      </w:r>
    </w:p>
    <w:p w14:paraId="763D6D52">
      <w:pPr>
        <w:numPr>
          <w:ilvl w:val="0"/>
          <w:numId w:val="38"/>
        </w:numPr>
      </w:pPr>
      <w:r>
        <w:t>Plan i program mjera zdravstvene zaštite 2023. – 2026. (NN 127/23)</w:t>
      </w:r>
    </w:p>
    <w:p w14:paraId="2D97EB4F">
      <w:pPr>
        <w:numPr>
          <w:ilvl w:val="0"/>
          <w:numId w:val="38"/>
        </w:numPr>
      </w:pPr>
      <w:r>
        <w:t>Izmjene i dopune mreže javnozdravstvene službe (NN 20/18)</w:t>
      </w:r>
    </w:p>
    <w:p w14:paraId="382B0DBE">
      <w:pPr>
        <w:numPr>
          <w:ilvl w:val="0"/>
          <w:numId w:val="38"/>
        </w:numPr>
      </w:pPr>
      <w:r>
        <w:t>Odluka o osnovama za sklapanje ugovora o provođenju zdravstvene zaštite iz obveznog zdravstvenog osiguranja (NN 133/22)</w:t>
      </w:r>
    </w:p>
    <w:p w14:paraId="66BAF5E8">
      <w:pPr>
        <w:numPr>
          <w:ilvl w:val="0"/>
          <w:numId w:val="38"/>
        </w:numPr>
      </w:pPr>
      <w:r>
        <w:t>Pravilnik o minimalnim uvjetima u pogledu prostora, radnika i medicinsko-tehničke opreme za obavljanje zdravstvene djelatnost (NN 61/11)</w:t>
      </w:r>
    </w:p>
    <w:p w14:paraId="2D78B4DA">
      <w:pPr>
        <w:numPr>
          <w:ilvl w:val="0"/>
          <w:numId w:val="38"/>
        </w:numPr>
      </w:pPr>
      <w:r>
        <w:t>Plan i program mjera zdravstvene zaštite iz obveznog zdravstvenog osiguranja (NN 126/06, 156/08, 33/23)</w:t>
      </w:r>
    </w:p>
    <w:p w14:paraId="0ABED46F">
      <w:pPr>
        <w:numPr>
          <w:ilvl w:val="0"/>
          <w:numId w:val="38"/>
        </w:numPr>
      </w:pPr>
      <w:r>
        <w:t>Zakon o službenoj statistici (NN 25/20, 155/23)</w:t>
      </w:r>
    </w:p>
    <w:p w14:paraId="55E85381">
      <w:pPr>
        <w:numPr>
          <w:ilvl w:val="0"/>
          <w:numId w:val="38"/>
        </w:numPr>
      </w:pPr>
      <w:r>
        <w:t>Godišnji provedbeni plan statističkih aktivnosti Republike Hrvatske</w:t>
      </w:r>
    </w:p>
    <w:p w14:paraId="4CD86A02">
      <w:pPr>
        <w:numPr>
          <w:ilvl w:val="0"/>
          <w:numId w:val="38"/>
        </w:numPr>
      </w:pPr>
      <w:r>
        <w:t>Nacionalni plana razvoja zdravstva za razdoblje od 2021. do 2027. godine i Akcijski plan razvoja zdravstva za razdoblje od 2021. do 2025. godine (NN 147/21)</w:t>
      </w:r>
    </w:p>
    <w:p w14:paraId="2567A904">
      <w:pPr>
        <w:numPr>
          <w:ilvl w:val="0"/>
          <w:numId w:val="38"/>
        </w:numPr>
        <w:rPr>
          <w:spacing w:val="-10"/>
        </w:rPr>
      </w:pPr>
      <w:r>
        <w:rPr>
          <w:spacing w:val="-10"/>
        </w:rPr>
        <w:t>Strategija socijalne skrbi za starije osobe u Republici Hrvatskoj za razdoblje od 2017. do 2020.</w:t>
      </w:r>
    </w:p>
    <w:p w14:paraId="7B6C5A99"/>
    <w:p w14:paraId="247ADF62">
      <w:pPr>
        <w:pStyle w:val="147"/>
        <w:jc w:val="left"/>
      </w:pPr>
      <w:r>
        <w:t>USKLAĐENOST CILJEVA, STRATEGIJE PROGRAMA S DOKUMENTIMA DUGOROČNOG RAZVOJA</w:t>
      </w:r>
    </w:p>
    <w:p w14:paraId="18D8755E">
      <w:r>
        <w:t>Navedeni ciljevi i strategije usklađeni su sa sljedećim dokumentima:</w:t>
      </w:r>
    </w:p>
    <w:p w14:paraId="431B448E">
      <w:pPr>
        <w:numPr>
          <w:ilvl w:val="0"/>
          <w:numId w:val="39"/>
        </w:numPr>
      </w:pPr>
      <w:r>
        <w:t>Nacionalni plan razvoja zdravstva za razdoblje od 2021. do 2027. godine, Vlada RH, Ministarstvo zdravstva</w:t>
      </w:r>
    </w:p>
    <w:p w14:paraId="0821D847">
      <w:pPr>
        <w:numPr>
          <w:ilvl w:val="0"/>
          <w:numId w:val="39"/>
        </w:numPr>
      </w:pPr>
      <w:r>
        <w:t>Nacionalni portfelj ulaganja u zdravstvo i dugotrajnu skrb, 2021. – 2027</w:t>
      </w:r>
    </w:p>
    <w:p w14:paraId="1572C35C">
      <w:pPr>
        <w:numPr>
          <w:ilvl w:val="0"/>
          <w:numId w:val="39"/>
        </w:numPr>
      </w:pPr>
      <w:r>
        <w:t>Strateški plan razvoja javnog zdravstva 2013. – 2015., Vlada RH, Ministarstvo zdravlja</w:t>
      </w:r>
    </w:p>
    <w:p w14:paraId="6EBD504C">
      <w:pPr>
        <w:numPr>
          <w:ilvl w:val="0"/>
          <w:numId w:val="39"/>
        </w:numPr>
      </w:pPr>
      <w:r>
        <w:t>Desetljeće zdravog starenja, Svjetska zdravstvena organizacija.</w:t>
      </w:r>
    </w:p>
    <w:p w14:paraId="59C24A24"/>
    <w:p w14:paraId="0BB1AA4A">
      <w:pPr>
        <w:pStyle w:val="147"/>
      </w:pPr>
      <w:r>
        <w:t>ISHODIŠTE I POKAZATELJI NA KOJIMA SE ZASNIVAJU IZRAČUNI I OCJENE POTREBNIH SREDSTAVA ZA PROVOĐENJE PROGRAMA</w:t>
      </w:r>
    </w:p>
    <w:p w14:paraId="39DE91C1">
      <w:r>
        <w:t>Planirano je da će se u 2025. godini:</w:t>
      </w:r>
    </w:p>
    <w:p w14:paraId="2A8A6DC9">
      <w:pPr>
        <w:pStyle w:val="52"/>
        <w:numPr>
          <w:ilvl w:val="0"/>
          <w:numId w:val="40"/>
        </w:numPr>
      </w:pPr>
      <w:r>
        <w:t>iz proračuna Grada Zagreba primiti 53.140 € za realizaciju programa „Sajam zdravlja – Štampar u tvom kvartu“ i „Edukacija o racionalnoj upotrebi lijekova u domovima za starije osobe u Gradu Zagrebu“</w:t>
      </w:r>
    </w:p>
    <w:p w14:paraId="1BA2753D">
      <w:pPr>
        <w:pStyle w:val="52"/>
        <w:numPr>
          <w:ilvl w:val="0"/>
          <w:numId w:val="40"/>
        </w:numPr>
      </w:pPr>
      <w:r>
        <w:t>od strane HZZO-a za ostale navedene aktivnosti prihodovati će se za tri javnozdravstvena tima 312.263,00 €.</w:t>
      </w:r>
    </w:p>
    <w:p w14:paraId="3FA47F90"/>
    <w:p w14:paraId="27722FBA">
      <w:pPr>
        <w:pStyle w:val="147"/>
      </w:pPr>
      <w:r>
        <w:t>POKAZATELJI PRAĆENJA AKTIVNOSTI</w:t>
      </w:r>
    </w:p>
    <w:p w14:paraId="7B0C0869"/>
    <w:p w14:paraId="629DBE52">
      <w:pPr>
        <w:rPr>
          <w:i/>
          <w:iCs/>
        </w:rPr>
      </w:pPr>
      <w:r>
        <w:rPr>
          <w:i/>
          <w:iCs/>
        </w:rPr>
        <w:t>Tablica – Realizirane usluge u razdoblju od 1.1. do 30.09.2024. godine i planirane u 2025. godini</w:t>
      </w:r>
    </w:p>
    <w:tbl>
      <w:tblPr>
        <w:tblStyle w:val="12"/>
        <w:tblW w:w="5000" w:type="pct"/>
        <w:jc w:val="center"/>
        <w:tblLayout w:type="autofit"/>
        <w:tblCellMar>
          <w:top w:w="0" w:type="dxa"/>
          <w:left w:w="108" w:type="dxa"/>
          <w:bottom w:w="0" w:type="dxa"/>
          <w:right w:w="108" w:type="dxa"/>
        </w:tblCellMar>
      </w:tblPr>
      <w:tblGrid>
        <w:gridCol w:w="2266"/>
        <w:gridCol w:w="4450"/>
        <w:gridCol w:w="1286"/>
        <w:gridCol w:w="1286"/>
      </w:tblGrid>
      <w:tr w14:paraId="19FACEA7">
        <w:tblPrEx>
          <w:tblCellMar>
            <w:top w:w="0" w:type="dxa"/>
            <w:left w:w="108" w:type="dxa"/>
            <w:bottom w:w="0" w:type="dxa"/>
            <w:right w:w="108" w:type="dxa"/>
          </w:tblCellMar>
        </w:tblPrEx>
        <w:trPr>
          <w:trHeight w:val="510" w:hRule="atLeast"/>
          <w:tblHeader/>
          <w:jc w:val="center"/>
        </w:trPr>
        <w:tc>
          <w:tcPr>
            <w:tcW w:w="1220" w:type="pct"/>
            <w:tcBorders>
              <w:top w:val="single" w:color="auto" w:sz="4" w:space="0"/>
              <w:left w:val="single" w:color="auto" w:sz="4" w:space="0"/>
              <w:bottom w:val="double" w:color="auto" w:sz="4" w:space="0"/>
              <w:right w:val="single" w:color="auto" w:sz="4" w:space="0"/>
            </w:tcBorders>
            <w:shd w:val="clear" w:color="auto" w:fill="auto"/>
            <w:vAlign w:val="center"/>
          </w:tcPr>
          <w:p w14:paraId="101623F0">
            <w:pPr>
              <w:pStyle w:val="150"/>
              <w:jc w:val="left"/>
              <w:rPr>
                <w:sz w:val="18"/>
                <w:szCs w:val="18"/>
              </w:rPr>
            </w:pPr>
            <w:r>
              <w:rPr>
                <w:sz w:val="18"/>
                <w:szCs w:val="18"/>
              </w:rPr>
              <w:t>Aktivnost</w:t>
            </w:r>
          </w:p>
        </w:tc>
        <w:tc>
          <w:tcPr>
            <w:tcW w:w="2395" w:type="pct"/>
            <w:tcBorders>
              <w:top w:val="single" w:color="auto" w:sz="4" w:space="0"/>
              <w:left w:val="nil"/>
              <w:bottom w:val="double" w:color="auto" w:sz="4" w:space="0"/>
              <w:right w:val="single" w:color="auto" w:sz="4" w:space="0"/>
            </w:tcBorders>
            <w:shd w:val="clear" w:color="auto" w:fill="auto"/>
            <w:vAlign w:val="center"/>
          </w:tcPr>
          <w:p w14:paraId="3C6D5FB7">
            <w:pPr>
              <w:pStyle w:val="150"/>
              <w:jc w:val="left"/>
              <w:rPr>
                <w:sz w:val="18"/>
                <w:szCs w:val="18"/>
              </w:rPr>
            </w:pPr>
            <w:r>
              <w:rPr>
                <w:sz w:val="18"/>
                <w:szCs w:val="18"/>
              </w:rPr>
              <w:t>Usluga</w:t>
            </w:r>
          </w:p>
        </w:tc>
        <w:tc>
          <w:tcPr>
            <w:tcW w:w="692" w:type="pct"/>
            <w:tcBorders>
              <w:top w:val="single" w:color="auto" w:sz="4" w:space="0"/>
              <w:left w:val="nil"/>
              <w:bottom w:val="double" w:color="auto" w:sz="4" w:space="0"/>
              <w:right w:val="single" w:color="auto" w:sz="4" w:space="0"/>
            </w:tcBorders>
            <w:shd w:val="clear" w:color="auto" w:fill="auto"/>
            <w:vAlign w:val="center"/>
          </w:tcPr>
          <w:p w14:paraId="4AFDCBCB">
            <w:pPr>
              <w:pStyle w:val="150"/>
              <w:rPr>
                <w:i/>
                <w:sz w:val="18"/>
                <w:szCs w:val="18"/>
              </w:rPr>
            </w:pPr>
            <w:r>
              <w:rPr>
                <w:i/>
                <w:sz w:val="18"/>
                <w:szCs w:val="18"/>
              </w:rPr>
              <w:t>Realizirano do 30. 9. 2024.</w:t>
            </w:r>
          </w:p>
        </w:tc>
        <w:tc>
          <w:tcPr>
            <w:tcW w:w="692" w:type="pct"/>
            <w:tcBorders>
              <w:top w:val="single" w:color="auto" w:sz="4" w:space="0"/>
              <w:left w:val="nil"/>
              <w:bottom w:val="double" w:color="auto" w:sz="4" w:space="0"/>
              <w:right w:val="single" w:color="auto" w:sz="4" w:space="0"/>
            </w:tcBorders>
            <w:vAlign w:val="center"/>
          </w:tcPr>
          <w:p w14:paraId="057FFC32">
            <w:pPr>
              <w:pStyle w:val="150"/>
              <w:rPr>
                <w:i/>
                <w:sz w:val="18"/>
                <w:szCs w:val="18"/>
              </w:rPr>
            </w:pPr>
            <w:r>
              <w:rPr>
                <w:i/>
                <w:sz w:val="18"/>
                <w:szCs w:val="18"/>
              </w:rPr>
              <w:t>Planirano u 2025.</w:t>
            </w:r>
          </w:p>
        </w:tc>
      </w:tr>
      <w:tr w14:paraId="48FF3066">
        <w:tblPrEx>
          <w:tblCellMar>
            <w:top w:w="0" w:type="dxa"/>
            <w:left w:w="108" w:type="dxa"/>
            <w:bottom w:w="0" w:type="dxa"/>
            <w:right w:w="108" w:type="dxa"/>
          </w:tblCellMar>
        </w:tblPrEx>
        <w:trPr>
          <w:trHeight w:val="510" w:hRule="atLeast"/>
          <w:jc w:val="center"/>
        </w:trPr>
        <w:tc>
          <w:tcPr>
            <w:tcW w:w="1220" w:type="pct"/>
            <w:vMerge w:val="restart"/>
            <w:tcBorders>
              <w:left w:val="single" w:color="auto" w:sz="4" w:space="0"/>
              <w:right w:val="single" w:color="auto" w:sz="4" w:space="0"/>
            </w:tcBorders>
            <w:shd w:val="clear" w:color="auto" w:fill="auto"/>
            <w:vAlign w:val="center"/>
          </w:tcPr>
          <w:p w14:paraId="45D690E5">
            <w:pPr>
              <w:pStyle w:val="150"/>
              <w:jc w:val="left"/>
              <w:rPr>
                <w:sz w:val="18"/>
                <w:szCs w:val="18"/>
              </w:rPr>
            </w:pPr>
            <w:r>
              <w:rPr>
                <w:sz w:val="18"/>
                <w:szCs w:val="18"/>
              </w:rPr>
              <w:t>1. Praćenje, evaluacija i izvještavanje o zdravstvenim potrebama i funkcionalnoj sposobnosti starijih osoba u ranijoj (65 – 74 godine), srednjoj (75 – 84 godina) i dubokoj starosti (85 i više godina)</w:t>
            </w:r>
          </w:p>
        </w:tc>
        <w:tc>
          <w:tcPr>
            <w:tcW w:w="2395" w:type="pct"/>
            <w:tcBorders>
              <w:top w:val="single" w:color="auto" w:sz="4" w:space="0"/>
              <w:left w:val="nil"/>
              <w:bottom w:val="single" w:color="auto" w:sz="4" w:space="0"/>
              <w:right w:val="single" w:color="auto" w:sz="4" w:space="0"/>
            </w:tcBorders>
            <w:shd w:val="clear" w:color="auto" w:fill="auto"/>
            <w:vAlign w:val="center"/>
          </w:tcPr>
          <w:p w14:paraId="53816BD2">
            <w:pPr>
              <w:pStyle w:val="150"/>
              <w:jc w:val="left"/>
              <w:rPr>
                <w:sz w:val="18"/>
                <w:szCs w:val="18"/>
              </w:rPr>
            </w:pPr>
            <w:r>
              <w:rPr>
                <w:sz w:val="18"/>
                <w:szCs w:val="18"/>
              </w:rPr>
              <w:t xml:space="preserve">Slanje </w:t>
            </w:r>
            <w:r>
              <w:rPr>
                <w:i/>
                <w:iCs w:val="0"/>
                <w:sz w:val="18"/>
                <w:szCs w:val="18"/>
              </w:rPr>
              <w:t>Upitnika o praćenju pokazatelja kvalitete u domovima za starije u 2023. godini</w:t>
            </w:r>
            <w:r>
              <w:rPr>
                <w:sz w:val="18"/>
                <w:szCs w:val="18"/>
              </w:rPr>
              <w:t xml:space="preserve"> i Izvješća za 2023. godinu po Kategorijskom postupniku programa </w:t>
            </w:r>
            <w:r>
              <w:rPr>
                <w:i/>
                <w:iCs w:val="0"/>
                <w:sz w:val="18"/>
                <w:szCs w:val="18"/>
              </w:rPr>
              <w:t>Četiri stupnja gerijatrijske zdravstvene njege sa sestrinskom dokumentacijom za praćenje i evaluaciju zdravstvenih potreba i funkcionalne sposobnosti gerontoloških osiguranika u domu za starije s područja Republike Hrvatske</w:t>
            </w:r>
            <w:r>
              <w:rPr>
                <w:sz w:val="18"/>
                <w:szCs w:val="18"/>
              </w:rPr>
              <w:t xml:space="preserve"> te slanje požurnica</w:t>
            </w:r>
          </w:p>
        </w:tc>
        <w:tc>
          <w:tcPr>
            <w:tcW w:w="692" w:type="pct"/>
            <w:tcBorders>
              <w:top w:val="single" w:color="auto" w:sz="4" w:space="0"/>
              <w:left w:val="nil"/>
              <w:bottom w:val="single" w:color="auto" w:sz="4" w:space="0"/>
              <w:right w:val="single" w:color="auto" w:sz="4" w:space="0"/>
            </w:tcBorders>
            <w:shd w:val="clear" w:color="auto" w:fill="auto"/>
            <w:vAlign w:val="center"/>
          </w:tcPr>
          <w:p w14:paraId="27122DD5">
            <w:pPr>
              <w:pStyle w:val="150"/>
              <w:rPr>
                <w:rFonts w:asciiTheme="majorHAnsi" w:hAnsiTheme="majorHAnsi" w:cstheme="majorHAnsi"/>
                <w:sz w:val="18"/>
                <w:szCs w:val="18"/>
              </w:rPr>
            </w:pPr>
            <w:r>
              <w:rPr>
                <w:rFonts w:asciiTheme="majorHAnsi" w:hAnsiTheme="majorHAnsi" w:cstheme="majorHAnsi"/>
                <w:sz w:val="18"/>
                <w:szCs w:val="18"/>
              </w:rPr>
              <w:t>408</w:t>
            </w:r>
          </w:p>
        </w:tc>
        <w:tc>
          <w:tcPr>
            <w:tcW w:w="692" w:type="pct"/>
            <w:tcBorders>
              <w:top w:val="single" w:color="auto" w:sz="4" w:space="0"/>
              <w:left w:val="nil"/>
              <w:bottom w:val="single" w:color="auto" w:sz="4" w:space="0"/>
              <w:right w:val="single" w:color="auto" w:sz="4" w:space="0"/>
            </w:tcBorders>
            <w:vAlign w:val="center"/>
          </w:tcPr>
          <w:p w14:paraId="49E74998">
            <w:pPr>
              <w:pStyle w:val="150"/>
              <w:rPr>
                <w:sz w:val="18"/>
                <w:szCs w:val="18"/>
              </w:rPr>
            </w:pPr>
            <w:r>
              <w:rPr>
                <w:sz w:val="18"/>
                <w:szCs w:val="18"/>
              </w:rPr>
              <w:t>400</w:t>
            </w:r>
          </w:p>
        </w:tc>
      </w:tr>
      <w:tr w14:paraId="0790823F">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00F08D47">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27689691">
            <w:pPr>
              <w:pStyle w:val="150"/>
              <w:jc w:val="left"/>
              <w:rPr>
                <w:sz w:val="18"/>
                <w:szCs w:val="18"/>
              </w:rPr>
            </w:pPr>
            <w:r>
              <w:rPr>
                <w:sz w:val="18"/>
                <w:szCs w:val="18"/>
              </w:rPr>
              <w:t>Obrada</w:t>
            </w:r>
            <w:r>
              <w:rPr>
                <w:color w:val="FF0000"/>
                <w:sz w:val="18"/>
                <w:szCs w:val="18"/>
              </w:rPr>
              <w:t xml:space="preserve"> </w:t>
            </w:r>
            <w:r>
              <w:rPr>
                <w:sz w:val="18"/>
                <w:szCs w:val="18"/>
              </w:rPr>
              <w:t xml:space="preserve">i analiza podataka te izrada grafičkih prikaza gerontoloških pokazatelja iz domova za starije osobe, prikupljenih </w:t>
            </w:r>
            <w:r>
              <w:rPr>
                <w:i/>
                <w:iCs w:val="0"/>
                <w:sz w:val="18"/>
                <w:szCs w:val="18"/>
              </w:rPr>
              <w:t xml:space="preserve">Upitnikom o praćenju pokazatelja kvalitete u domovima za starije </w:t>
            </w:r>
            <w:r>
              <w:rPr>
                <w:sz w:val="18"/>
                <w:szCs w:val="18"/>
              </w:rPr>
              <w:t xml:space="preserve">po Kategorijskom postupniku programa </w:t>
            </w:r>
            <w:r>
              <w:rPr>
                <w:i/>
                <w:iCs w:val="0"/>
                <w:sz w:val="18"/>
                <w:szCs w:val="18"/>
              </w:rPr>
              <w:t xml:space="preserve">Četiri stupnja gerijatrijske zdravstvene njege sa sestrinskom dokumentacijom za praćenje i evaluaciju zdravstvenih potreba i funkcionalne sposobnosti gerontoloških osiguranika u domu za starije s područja Republike Hrvatske </w:t>
            </w:r>
          </w:p>
        </w:tc>
        <w:tc>
          <w:tcPr>
            <w:tcW w:w="692" w:type="pct"/>
            <w:tcBorders>
              <w:top w:val="single" w:color="auto" w:sz="4" w:space="0"/>
              <w:left w:val="nil"/>
              <w:bottom w:val="single" w:color="auto" w:sz="4" w:space="0"/>
              <w:right w:val="single" w:color="auto" w:sz="4" w:space="0"/>
            </w:tcBorders>
            <w:shd w:val="clear" w:color="auto" w:fill="auto"/>
            <w:vAlign w:val="center"/>
          </w:tcPr>
          <w:p w14:paraId="7264EDE0">
            <w:pPr>
              <w:pStyle w:val="150"/>
              <w:rPr>
                <w:rFonts w:asciiTheme="majorHAnsi" w:hAnsiTheme="majorHAnsi" w:cstheme="majorHAnsi"/>
                <w:sz w:val="18"/>
                <w:szCs w:val="18"/>
              </w:rPr>
            </w:pPr>
            <w:r>
              <w:rPr>
                <w:rFonts w:asciiTheme="majorHAnsi" w:hAnsiTheme="majorHAnsi" w:cstheme="majorHAnsi"/>
                <w:sz w:val="18"/>
                <w:szCs w:val="18"/>
              </w:rPr>
              <w:t>260</w:t>
            </w:r>
          </w:p>
        </w:tc>
        <w:tc>
          <w:tcPr>
            <w:tcW w:w="692" w:type="pct"/>
            <w:tcBorders>
              <w:top w:val="single" w:color="auto" w:sz="4" w:space="0"/>
              <w:left w:val="nil"/>
              <w:bottom w:val="single" w:color="auto" w:sz="4" w:space="0"/>
              <w:right w:val="single" w:color="auto" w:sz="4" w:space="0"/>
            </w:tcBorders>
            <w:vAlign w:val="center"/>
          </w:tcPr>
          <w:p w14:paraId="25068E5E">
            <w:pPr>
              <w:pStyle w:val="150"/>
              <w:spacing w:line="276" w:lineRule="auto"/>
              <w:rPr>
                <w:rFonts w:asciiTheme="majorHAnsi" w:hAnsiTheme="majorHAnsi" w:cstheme="majorHAnsi"/>
                <w:sz w:val="18"/>
                <w:szCs w:val="18"/>
              </w:rPr>
            </w:pPr>
            <w:r>
              <w:rPr>
                <w:rFonts w:asciiTheme="majorHAnsi" w:hAnsiTheme="majorHAnsi" w:cstheme="majorHAnsi"/>
                <w:sz w:val="18"/>
                <w:szCs w:val="18"/>
              </w:rPr>
              <w:t xml:space="preserve">250 </w:t>
            </w:r>
          </w:p>
        </w:tc>
      </w:tr>
      <w:tr w14:paraId="2B8ABAE8">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4DE1530C">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tcPr>
          <w:p w14:paraId="583BDAFC">
            <w:pPr>
              <w:pStyle w:val="150"/>
              <w:jc w:val="left"/>
              <w:rPr>
                <w:sz w:val="18"/>
                <w:szCs w:val="18"/>
              </w:rPr>
            </w:pPr>
            <w:r>
              <w:rPr>
                <w:sz w:val="18"/>
                <w:szCs w:val="18"/>
              </w:rPr>
              <w:t xml:space="preserve">Prikupljene i upis Evidencijske liste br. 1 za praćenje zdravstvenih potreba gerijatrijskih osiguranika u domovima za starije osobe </w:t>
            </w:r>
          </w:p>
        </w:tc>
        <w:tc>
          <w:tcPr>
            <w:tcW w:w="692" w:type="pct"/>
            <w:tcBorders>
              <w:top w:val="single" w:color="auto" w:sz="4" w:space="0"/>
              <w:left w:val="nil"/>
              <w:bottom w:val="single" w:color="auto" w:sz="4" w:space="0"/>
              <w:right w:val="single" w:color="auto" w:sz="4" w:space="0"/>
            </w:tcBorders>
            <w:shd w:val="clear" w:color="auto" w:fill="auto"/>
            <w:vAlign w:val="center"/>
          </w:tcPr>
          <w:p w14:paraId="0B4CD768">
            <w:pPr>
              <w:pStyle w:val="150"/>
              <w:rPr>
                <w:rFonts w:asciiTheme="majorHAnsi" w:hAnsiTheme="majorHAnsi" w:cstheme="majorHAnsi"/>
                <w:sz w:val="18"/>
                <w:szCs w:val="18"/>
              </w:rPr>
            </w:pPr>
            <w:r>
              <w:rPr>
                <w:rFonts w:asciiTheme="majorHAnsi" w:hAnsiTheme="majorHAnsi" w:cstheme="majorHAnsi"/>
                <w:sz w:val="18"/>
                <w:szCs w:val="18"/>
              </w:rPr>
              <w:t>256</w:t>
            </w:r>
          </w:p>
        </w:tc>
        <w:tc>
          <w:tcPr>
            <w:tcW w:w="692" w:type="pct"/>
            <w:tcBorders>
              <w:top w:val="single" w:color="auto" w:sz="4" w:space="0"/>
              <w:left w:val="nil"/>
              <w:bottom w:val="single" w:color="auto" w:sz="4" w:space="0"/>
              <w:right w:val="single" w:color="auto" w:sz="4" w:space="0"/>
            </w:tcBorders>
            <w:vAlign w:val="center"/>
          </w:tcPr>
          <w:p w14:paraId="1DF06CCD">
            <w:pPr>
              <w:pStyle w:val="150"/>
              <w:rPr>
                <w:rFonts w:asciiTheme="majorHAnsi" w:hAnsiTheme="majorHAnsi" w:cstheme="majorHAnsi"/>
                <w:sz w:val="18"/>
                <w:szCs w:val="18"/>
              </w:rPr>
            </w:pPr>
            <w:r>
              <w:rPr>
                <w:rFonts w:asciiTheme="majorHAnsi" w:hAnsiTheme="majorHAnsi" w:cstheme="majorHAnsi"/>
                <w:sz w:val="18"/>
                <w:szCs w:val="18"/>
              </w:rPr>
              <w:t>300</w:t>
            </w:r>
          </w:p>
        </w:tc>
      </w:tr>
      <w:tr w14:paraId="674CE42B">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0431263C">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tcPr>
          <w:p w14:paraId="6C947801">
            <w:pPr>
              <w:pStyle w:val="150"/>
              <w:jc w:val="left"/>
              <w:rPr>
                <w:sz w:val="18"/>
                <w:szCs w:val="18"/>
              </w:rPr>
            </w:pPr>
            <w:r>
              <w:rPr>
                <w:sz w:val="18"/>
                <w:szCs w:val="18"/>
              </w:rPr>
              <w:t>Obrada i analiza podataka te izrada grafičkih prikaza gerontoloških pokazatelja prikupljenih Evidencijskom listom br. 1 za praćenje zdravstvenih potreba gerijatrijskih osiguranika u domovima za starije osobe</w:t>
            </w:r>
          </w:p>
        </w:tc>
        <w:tc>
          <w:tcPr>
            <w:tcW w:w="692" w:type="pct"/>
            <w:tcBorders>
              <w:top w:val="single" w:color="auto" w:sz="4" w:space="0"/>
              <w:left w:val="nil"/>
              <w:bottom w:val="single" w:color="auto" w:sz="4" w:space="0"/>
              <w:right w:val="single" w:color="auto" w:sz="4" w:space="0"/>
            </w:tcBorders>
            <w:shd w:val="clear" w:color="auto" w:fill="auto"/>
            <w:vAlign w:val="center"/>
          </w:tcPr>
          <w:p w14:paraId="16CC9EA6">
            <w:pPr>
              <w:pStyle w:val="150"/>
              <w:rPr>
                <w:rFonts w:asciiTheme="majorHAnsi" w:hAnsiTheme="majorHAnsi" w:cstheme="majorHAnsi"/>
                <w:sz w:val="18"/>
                <w:szCs w:val="18"/>
              </w:rPr>
            </w:pPr>
            <w:r>
              <w:rPr>
                <w:rFonts w:asciiTheme="majorHAnsi" w:hAnsiTheme="majorHAnsi" w:cstheme="majorHAnsi"/>
                <w:sz w:val="18"/>
                <w:szCs w:val="18"/>
              </w:rPr>
              <w:t>0</w:t>
            </w:r>
          </w:p>
        </w:tc>
        <w:tc>
          <w:tcPr>
            <w:tcW w:w="692" w:type="pct"/>
            <w:tcBorders>
              <w:top w:val="single" w:color="auto" w:sz="4" w:space="0"/>
              <w:left w:val="nil"/>
              <w:bottom w:val="single" w:color="auto" w:sz="4" w:space="0"/>
              <w:right w:val="single" w:color="auto" w:sz="4" w:space="0"/>
            </w:tcBorders>
            <w:vAlign w:val="center"/>
          </w:tcPr>
          <w:p w14:paraId="42EF0984">
            <w:pPr>
              <w:pStyle w:val="150"/>
              <w:rPr>
                <w:rFonts w:asciiTheme="majorHAnsi" w:hAnsiTheme="majorHAnsi" w:cstheme="majorHAnsi"/>
                <w:sz w:val="18"/>
                <w:szCs w:val="18"/>
              </w:rPr>
            </w:pPr>
            <w:r>
              <w:rPr>
                <w:rFonts w:asciiTheme="majorHAnsi" w:hAnsiTheme="majorHAnsi" w:cstheme="majorHAnsi"/>
                <w:sz w:val="18"/>
                <w:szCs w:val="18"/>
              </w:rPr>
              <w:t>300</w:t>
            </w:r>
          </w:p>
        </w:tc>
      </w:tr>
      <w:tr w14:paraId="7C098D36">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0BDA2FF3">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tcPr>
          <w:p w14:paraId="4C6E2716">
            <w:pPr>
              <w:pStyle w:val="150"/>
              <w:jc w:val="left"/>
              <w:rPr>
                <w:sz w:val="18"/>
                <w:szCs w:val="18"/>
              </w:rPr>
            </w:pPr>
            <w:r>
              <w:rPr>
                <w:sz w:val="18"/>
                <w:szCs w:val="18"/>
              </w:rPr>
              <w:t xml:space="preserve">Prikupljanje i analiza podataka odabranih varijabli zdravstvenih potreba individualnog gerontološkog i gerijatrijskog osiguranika Evidencijske liste br.1 PZP-a korisnika domova za starije osobe (pilotiranje novog načina prikupljanja podataka – </w:t>
            </w:r>
            <w:r>
              <w:rPr>
                <w:i/>
                <w:iCs w:val="0"/>
                <w:sz w:val="18"/>
                <w:szCs w:val="18"/>
              </w:rPr>
              <w:t>Excel</w:t>
            </w:r>
            <w:r>
              <w:rPr>
                <w:sz w:val="18"/>
                <w:szCs w:val="18"/>
              </w:rPr>
              <w:t>-tablica)</w:t>
            </w:r>
            <w:r>
              <w:rPr>
                <w:i/>
                <w:color w:val="FF0000"/>
                <w:sz w:val="18"/>
                <w:szCs w:val="18"/>
              </w:rPr>
              <w:t xml:space="preserve"> </w:t>
            </w:r>
          </w:p>
        </w:tc>
        <w:tc>
          <w:tcPr>
            <w:tcW w:w="692" w:type="pct"/>
            <w:tcBorders>
              <w:top w:val="single" w:color="auto" w:sz="4" w:space="0"/>
              <w:left w:val="nil"/>
              <w:bottom w:val="single" w:color="auto" w:sz="4" w:space="0"/>
              <w:right w:val="single" w:color="auto" w:sz="4" w:space="0"/>
            </w:tcBorders>
            <w:shd w:val="clear" w:color="auto" w:fill="auto"/>
            <w:vAlign w:val="center"/>
          </w:tcPr>
          <w:p w14:paraId="38DE5E78">
            <w:pPr>
              <w:pStyle w:val="150"/>
              <w:rPr>
                <w:rFonts w:asciiTheme="majorHAnsi" w:hAnsiTheme="majorHAnsi" w:cstheme="majorHAnsi"/>
                <w:sz w:val="18"/>
                <w:szCs w:val="18"/>
              </w:rPr>
            </w:pPr>
            <w:r>
              <w:rPr>
                <w:rFonts w:asciiTheme="majorHAnsi" w:hAnsiTheme="majorHAnsi" w:cstheme="majorHAnsi"/>
                <w:sz w:val="18"/>
                <w:szCs w:val="18"/>
              </w:rPr>
              <w:t>3</w:t>
            </w:r>
          </w:p>
        </w:tc>
        <w:tc>
          <w:tcPr>
            <w:tcW w:w="692" w:type="pct"/>
            <w:tcBorders>
              <w:top w:val="single" w:color="auto" w:sz="4" w:space="0"/>
              <w:left w:val="nil"/>
              <w:bottom w:val="single" w:color="auto" w:sz="4" w:space="0"/>
              <w:right w:val="single" w:color="auto" w:sz="4" w:space="0"/>
            </w:tcBorders>
            <w:vAlign w:val="center"/>
          </w:tcPr>
          <w:p w14:paraId="45DAF583">
            <w:pPr>
              <w:pStyle w:val="150"/>
              <w:rPr>
                <w:rFonts w:asciiTheme="majorHAnsi" w:hAnsiTheme="majorHAnsi" w:cstheme="majorHAnsi"/>
                <w:sz w:val="18"/>
                <w:szCs w:val="18"/>
              </w:rPr>
            </w:pPr>
            <w:r>
              <w:rPr>
                <w:rFonts w:asciiTheme="majorHAnsi" w:hAnsiTheme="majorHAnsi" w:cstheme="majorHAnsi"/>
                <w:sz w:val="18"/>
                <w:szCs w:val="18"/>
              </w:rPr>
              <w:t>15</w:t>
            </w:r>
          </w:p>
        </w:tc>
      </w:tr>
      <w:tr w14:paraId="0A5C1A4B">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157B3CAB">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33D31CE7">
            <w:pPr>
              <w:pStyle w:val="150"/>
              <w:jc w:val="left"/>
              <w:rPr>
                <w:sz w:val="18"/>
                <w:szCs w:val="18"/>
              </w:rPr>
            </w:pPr>
            <w:r>
              <w:rPr>
                <w:sz w:val="18"/>
                <w:szCs w:val="18"/>
              </w:rPr>
              <w:t xml:space="preserve">Prikupljanje i analiza broja oboljelih korisnika i djelatnika od COVID-19 u domovima za starije osobe u Gradu Zagrebu uz davanje usmenih uputa i savjeta </w:t>
            </w:r>
          </w:p>
        </w:tc>
        <w:tc>
          <w:tcPr>
            <w:tcW w:w="692" w:type="pct"/>
            <w:tcBorders>
              <w:top w:val="single" w:color="auto" w:sz="4" w:space="0"/>
              <w:left w:val="nil"/>
              <w:bottom w:val="single" w:color="auto" w:sz="4" w:space="0"/>
              <w:right w:val="single" w:color="auto" w:sz="4" w:space="0"/>
            </w:tcBorders>
            <w:shd w:val="clear" w:color="auto" w:fill="auto"/>
            <w:vAlign w:val="center"/>
          </w:tcPr>
          <w:p w14:paraId="450886E9">
            <w:pPr>
              <w:pStyle w:val="150"/>
              <w:rPr>
                <w:rFonts w:asciiTheme="majorHAnsi" w:hAnsiTheme="majorHAnsi" w:cstheme="majorHAnsi"/>
                <w:sz w:val="18"/>
                <w:szCs w:val="18"/>
              </w:rPr>
            </w:pPr>
            <w:r>
              <w:rPr>
                <w:rFonts w:asciiTheme="majorHAnsi" w:hAnsiTheme="majorHAnsi" w:cstheme="majorHAnsi"/>
                <w:sz w:val="18"/>
                <w:szCs w:val="18"/>
              </w:rPr>
              <w:t>20</w:t>
            </w:r>
          </w:p>
        </w:tc>
        <w:tc>
          <w:tcPr>
            <w:tcW w:w="692" w:type="pct"/>
            <w:tcBorders>
              <w:top w:val="single" w:color="auto" w:sz="4" w:space="0"/>
              <w:left w:val="nil"/>
              <w:bottom w:val="single" w:color="auto" w:sz="4" w:space="0"/>
              <w:right w:val="single" w:color="auto" w:sz="4" w:space="0"/>
            </w:tcBorders>
            <w:vAlign w:val="center"/>
          </w:tcPr>
          <w:p w14:paraId="732C6CF0">
            <w:pPr>
              <w:pStyle w:val="150"/>
              <w:rPr>
                <w:rFonts w:asciiTheme="majorHAnsi" w:hAnsiTheme="majorHAnsi" w:cstheme="majorHAnsi"/>
                <w:sz w:val="18"/>
                <w:szCs w:val="18"/>
              </w:rPr>
            </w:pPr>
            <w:r>
              <w:rPr>
                <w:rFonts w:asciiTheme="majorHAnsi" w:hAnsiTheme="majorHAnsi" w:cstheme="majorHAnsi"/>
                <w:sz w:val="18"/>
                <w:szCs w:val="18"/>
              </w:rPr>
              <w:t>25</w:t>
            </w:r>
          </w:p>
        </w:tc>
      </w:tr>
      <w:tr w14:paraId="3E9B6AED">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0A696054">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07A12905">
            <w:pPr>
              <w:pStyle w:val="150"/>
              <w:jc w:val="left"/>
              <w:rPr>
                <w:sz w:val="18"/>
                <w:szCs w:val="18"/>
              </w:rPr>
            </w:pPr>
            <w:r>
              <w:rPr>
                <w:sz w:val="18"/>
                <w:szCs w:val="18"/>
              </w:rPr>
              <w:t>Ažuriranje i kreiranje novog adresara ustanova institucijske skrbi za starije osobe (državni i privatni domovi za starije osobe u Gradu Zagrebu i županijama) te ustanova izvaninstitucijske skrbi za starije osobe – gerontološki centri u Gradu Zagrebu i županijama prema entitetima: županija, naziv ustanove, adresa, email, telefon, kontakt osoba, broj djelatnika, broj korisnika</w:t>
            </w:r>
          </w:p>
        </w:tc>
        <w:tc>
          <w:tcPr>
            <w:tcW w:w="692" w:type="pct"/>
            <w:tcBorders>
              <w:top w:val="single" w:color="auto" w:sz="4" w:space="0"/>
              <w:left w:val="nil"/>
              <w:bottom w:val="single" w:color="auto" w:sz="4" w:space="0"/>
              <w:right w:val="single" w:color="auto" w:sz="4" w:space="0"/>
            </w:tcBorders>
            <w:shd w:val="clear" w:color="auto" w:fill="auto"/>
            <w:vAlign w:val="center"/>
          </w:tcPr>
          <w:p w14:paraId="4CAF68A0">
            <w:pPr>
              <w:pStyle w:val="150"/>
              <w:rPr>
                <w:rFonts w:asciiTheme="majorHAnsi" w:hAnsiTheme="majorHAnsi" w:cstheme="majorHAnsi"/>
                <w:sz w:val="18"/>
                <w:szCs w:val="18"/>
              </w:rPr>
            </w:pPr>
            <w:r>
              <w:rPr>
                <w:rFonts w:asciiTheme="majorHAnsi" w:hAnsiTheme="majorHAnsi" w:cstheme="majorHAnsi"/>
                <w:sz w:val="18"/>
                <w:szCs w:val="18"/>
              </w:rPr>
              <w:t>9</w:t>
            </w:r>
          </w:p>
        </w:tc>
        <w:tc>
          <w:tcPr>
            <w:tcW w:w="692" w:type="pct"/>
            <w:tcBorders>
              <w:top w:val="single" w:color="auto" w:sz="4" w:space="0"/>
              <w:left w:val="nil"/>
              <w:bottom w:val="single" w:color="auto" w:sz="4" w:space="0"/>
              <w:right w:val="single" w:color="auto" w:sz="4" w:space="0"/>
            </w:tcBorders>
            <w:vAlign w:val="center"/>
          </w:tcPr>
          <w:p w14:paraId="004DAABB">
            <w:pPr>
              <w:pStyle w:val="150"/>
              <w:rPr>
                <w:rFonts w:asciiTheme="majorHAnsi" w:hAnsiTheme="majorHAnsi" w:cstheme="majorHAnsi"/>
                <w:sz w:val="18"/>
                <w:szCs w:val="18"/>
              </w:rPr>
            </w:pPr>
            <w:r>
              <w:rPr>
                <w:rFonts w:asciiTheme="majorHAnsi" w:hAnsiTheme="majorHAnsi" w:cstheme="majorHAnsi"/>
                <w:sz w:val="18"/>
                <w:szCs w:val="18"/>
              </w:rPr>
              <w:t>12</w:t>
            </w:r>
          </w:p>
        </w:tc>
      </w:tr>
      <w:tr w14:paraId="3BED629E">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6B61D944">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23D905C2">
            <w:pPr>
              <w:pStyle w:val="150"/>
              <w:jc w:val="left"/>
              <w:rPr>
                <w:sz w:val="18"/>
                <w:szCs w:val="18"/>
              </w:rPr>
            </w:pPr>
            <w:r>
              <w:rPr>
                <w:sz w:val="18"/>
                <w:szCs w:val="18"/>
              </w:rPr>
              <w:t xml:space="preserve">Analiza podataka i izrada grafičkih prikaza za odabrana poglavlja </w:t>
            </w:r>
            <w:r>
              <w:rPr>
                <w:iCs w:val="0"/>
                <w:sz w:val="18"/>
                <w:szCs w:val="18"/>
              </w:rPr>
              <w:t>za</w:t>
            </w:r>
            <w:r>
              <w:rPr>
                <w:i/>
                <w:iCs w:val="0"/>
                <w:sz w:val="18"/>
                <w:szCs w:val="18"/>
              </w:rPr>
              <w:t xml:space="preserve"> Zdravstveno-statistički ljetopis Grada Zagreba i Statistički ljetopis Grada Zagreba</w:t>
            </w:r>
          </w:p>
        </w:tc>
        <w:tc>
          <w:tcPr>
            <w:tcW w:w="692" w:type="pct"/>
            <w:tcBorders>
              <w:top w:val="single" w:color="auto" w:sz="4" w:space="0"/>
              <w:left w:val="nil"/>
              <w:bottom w:val="single" w:color="auto" w:sz="4" w:space="0"/>
              <w:right w:val="single" w:color="auto" w:sz="4" w:space="0"/>
            </w:tcBorders>
            <w:shd w:val="clear" w:color="auto" w:fill="auto"/>
            <w:vAlign w:val="center"/>
          </w:tcPr>
          <w:p w14:paraId="57BEA749">
            <w:pPr>
              <w:pStyle w:val="150"/>
              <w:rPr>
                <w:rFonts w:asciiTheme="majorHAnsi" w:hAnsiTheme="majorHAnsi" w:cstheme="majorHAnsi"/>
                <w:sz w:val="18"/>
                <w:szCs w:val="18"/>
              </w:rPr>
            </w:pPr>
            <w:r>
              <w:rPr>
                <w:rFonts w:asciiTheme="majorHAnsi" w:hAnsiTheme="majorHAnsi" w:cstheme="majorHAnsi"/>
                <w:sz w:val="18"/>
                <w:szCs w:val="18"/>
              </w:rPr>
              <w:t>2</w:t>
            </w:r>
          </w:p>
        </w:tc>
        <w:tc>
          <w:tcPr>
            <w:tcW w:w="692" w:type="pct"/>
            <w:tcBorders>
              <w:top w:val="single" w:color="auto" w:sz="4" w:space="0"/>
              <w:left w:val="nil"/>
              <w:bottom w:val="single" w:color="auto" w:sz="4" w:space="0"/>
              <w:right w:val="single" w:color="auto" w:sz="4" w:space="0"/>
            </w:tcBorders>
            <w:vAlign w:val="center"/>
          </w:tcPr>
          <w:p w14:paraId="4824841F">
            <w:pPr>
              <w:pStyle w:val="150"/>
              <w:rPr>
                <w:rFonts w:asciiTheme="majorHAnsi" w:hAnsiTheme="majorHAnsi" w:cstheme="majorHAnsi"/>
                <w:sz w:val="18"/>
                <w:szCs w:val="18"/>
              </w:rPr>
            </w:pPr>
            <w:r>
              <w:rPr>
                <w:rFonts w:asciiTheme="majorHAnsi" w:hAnsiTheme="majorHAnsi" w:cstheme="majorHAnsi"/>
                <w:sz w:val="18"/>
                <w:szCs w:val="18"/>
              </w:rPr>
              <w:t>2</w:t>
            </w:r>
          </w:p>
        </w:tc>
      </w:tr>
      <w:tr w14:paraId="56811CA8">
        <w:tblPrEx>
          <w:tblCellMar>
            <w:top w:w="0" w:type="dxa"/>
            <w:left w:w="108" w:type="dxa"/>
            <w:bottom w:w="0" w:type="dxa"/>
            <w:right w:w="108" w:type="dxa"/>
          </w:tblCellMar>
        </w:tblPrEx>
        <w:trPr>
          <w:trHeight w:val="510" w:hRule="atLeast"/>
          <w:jc w:val="center"/>
        </w:trPr>
        <w:tc>
          <w:tcPr>
            <w:tcW w:w="1220" w:type="pct"/>
            <w:tcBorders>
              <w:left w:val="single" w:color="auto" w:sz="4" w:space="0"/>
              <w:right w:val="single" w:color="auto" w:sz="4" w:space="0"/>
            </w:tcBorders>
            <w:shd w:val="clear" w:color="auto" w:fill="auto"/>
            <w:vAlign w:val="center"/>
          </w:tcPr>
          <w:p w14:paraId="1CED1A92">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4F211E57">
            <w:pPr>
              <w:pStyle w:val="150"/>
              <w:jc w:val="left"/>
              <w:rPr>
                <w:spacing w:val="-4"/>
                <w:sz w:val="18"/>
                <w:szCs w:val="18"/>
              </w:rPr>
            </w:pPr>
            <w:r>
              <w:rPr>
                <w:spacing w:val="-4"/>
                <w:sz w:val="18"/>
                <w:szCs w:val="18"/>
              </w:rPr>
              <w:t xml:space="preserve">Statistička analiza i obrada podataka odabranih gerontološko-javnozdravstvenih pokazatelja (1. </w:t>
            </w:r>
            <w:r>
              <w:rPr>
                <w:i/>
                <w:spacing w:val="-4"/>
                <w:sz w:val="18"/>
                <w:szCs w:val="18"/>
              </w:rPr>
              <w:t>Udio starijih osoba od 65 godina u ukupnom stanovništvu po dobi i spolu, Hrvatska i Grad Zagreb 2. Uzroci mortaliteta osoba starijih od 65 godina, Hrvatska i Grad Zagreb 3. Hospitalizacije osoba starijih od 65 godina u bolnicama Hrvatske</w:t>
            </w:r>
            <w:r>
              <w:rPr>
                <w:spacing w:val="-4"/>
                <w:sz w:val="18"/>
                <w:szCs w:val="18"/>
              </w:rPr>
              <w:t>)</w:t>
            </w:r>
          </w:p>
        </w:tc>
        <w:tc>
          <w:tcPr>
            <w:tcW w:w="692" w:type="pct"/>
            <w:tcBorders>
              <w:top w:val="single" w:color="auto" w:sz="4" w:space="0"/>
              <w:left w:val="nil"/>
              <w:bottom w:val="single" w:color="auto" w:sz="4" w:space="0"/>
              <w:right w:val="single" w:color="auto" w:sz="4" w:space="0"/>
            </w:tcBorders>
            <w:shd w:val="clear" w:color="auto" w:fill="auto"/>
            <w:vAlign w:val="center"/>
          </w:tcPr>
          <w:p w14:paraId="4495DE80">
            <w:pPr>
              <w:pStyle w:val="150"/>
              <w:rPr>
                <w:rFonts w:asciiTheme="majorHAnsi" w:hAnsiTheme="majorHAnsi" w:cstheme="majorHAnsi"/>
                <w:sz w:val="18"/>
                <w:szCs w:val="18"/>
              </w:rPr>
            </w:pPr>
            <w:r>
              <w:rPr>
                <w:rFonts w:asciiTheme="majorHAnsi" w:hAnsiTheme="majorHAnsi" w:cstheme="majorHAnsi"/>
                <w:sz w:val="18"/>
                <w:szCs w:val="18"/>
              </w:rPr>
              <w:t>3</w:t>
            </w:r>
          </w:p>
        </w:tc>
        <w:tc>
          <w:tcPr>
            <w:tcW w:w="692" w:type="pct"/>
            <w:tcBorders>
              <w:top w:val="single" w:color="auto" w:sz="4" w:space="0"/>
              <w:left w:val="nil"/>
              <w:bottom w:val="single" w:color="auto" w:sz="4" w:space="0"/>
              <w:right w:val="single" w:color="auto" w:sz="4" w:space="0"/>
            </w:tcBorders>
            <w:vAlign w:val="center"/>
          </w:tcPr>
          <w:p w14:paraId="4485A7BF">
            <w:pPr>
              <w:pStyle w:val="150"/>
              <w:rPr>
                <w:rFonts w:asciiTheme="majorHAnsi" w:hAnsiTheme="majorHAnsi" w:cstheme="majorHAnsi"/>
                <w:sz w:val="18"/>
                <w:szCs w:val="18"/>
              </w:rPr>
            </w:pPr>
            <w:r>
              <w:rPr>
                <w:rFonts w:asciiTheme="majorHAnsi" w:hAnsiTheme="majorHAnsi" w:cstheme="majorHAnsi"/>
                <w:sz w:val="18"/>
                <w:szCs w:val="18"/>
              </w:rPr>
              <w:t>3</w:t>
            </w:r>
          </w:p>
        </w:tc>
      </w:tr>
      <w:tr w14:paraId="1298B127">
        <w:tblPrEx>
          <w:tblCellMar>
            <w:top w:w="0" w:type="dxa"/>
            <w:left w:w="108" w:type="dxa"/>
            <w:bottom w:w="0" w:type="dxa"/>
            <w:right w:w="108" w:type="dxa"/>
          </w:tblCellMar>
        </w:tblPrEx>
        <w:trPr>
          <w:trHeight w:val="510" w:hRule="atLeast"/>
          <w:jc w:val="center"/>
        </w:trPr>
        <w:tc>
          <w:tcPr>
            <w:tcW w:w="1220" w:type="pct"/>
            <w:vMerge w:val="restart"/>
            <w:tcBorders>
              <w:top w:val="single" w:color="auto" w:sz="4" w:space="0"/>
              <w:left w:val="single" w:color="auto" w:sz="4" w:space="0"/>
              <w:right w:val="single" w:color="auto" w:sz="4" w:space="0"/>
            </w:tcBorders>
            <w:shd w:val="clear" w:color="auto" w:fill="auto"/>
            <w:vAlign w:val="center"/>
          </w:tcPr>
          <w:p w14:paraId="323543CE">
            <w:pPr>
              <w:pStyle w:val="150"/>
              <w:jc w:val="left"/>
              <w:rPr>
                <w:sz w:val="18"/>
                <w:szCs w:val="18"/>
              </w:rPr>
            </w:pPr>
            <w:r>
              <w:rPr>
                <w:sz w:val="18"/>
                <w:szCs w:val="18"/>
              </w:rPr>
              <w:t xml:space="preserve">2. i 3. Koordinacija, stručno-metodološka pomoć i edukacija provoditelja zaštite zdravlja te zdravstvene i socijalne zaštite starijih osoba Izrada, predlaganje i evaluacija programa i projekata zdravog i aktivnog starenja </w:t>
            </w:r>
          </w:p>
        </w:tc>
        <w:tc>
          <w:tcPr>
            <w:tcW w:w="2395" w:type="pct"/>
            <w:tcBorders>
              <w:top w:val="single" w:color="auto" w:sz="4" w:space="0"/>
              <w:bottom w:val="single" w:color="auto" w:sz="4" w:space="0"/>
              <w:right w:val="single" w:color="auto" w:sz="4" w:space="0"/>
            </w:tcBorders>
            <w:vAlign w:val="center"/>
          </w:tcPr>
          <w:p w14:paraId="40770975">
            <w:pPr>
              <w:pStyle w:val="150"/>
              <w:jc w:val="left"/>
              <w:rPr>
                <w:sz w:val="18"/>
                <w:szCs w:val="18"/>
              </w:rPr>
            </w:pPr>
            <w:r>
              <w:rPr>
                <w:sz w:val="18"/>
                <w:szCs w:val="18"/>
              </w:rPr>
              <w:t xml:space="preserve">Provođenje programa financiranih od Grada Zagreba </w:t>
            </w:r>
          </w:p>
        </w:tc>
        <w:tc>
          <w:tcPr>
            <w:tcW w:w="692" w:type="pct"/>
            <w:tcBorders>
              <w:top w:val="single" w:color="auto" w:sz="4" w:space="0"/>
              <w:left w:val="nil"/>
              <w:bottom w:val="single" w:color="auto" w:sz="4" w:space="0"/>
              <w:right w:val="single" w:color="auto" w:sz="4" w:space="0"/>
            </w:tcBorders>
            <w:shd w:val="clear" w:color="auto" w:fill="auto"/>
            <w:vAlign w:val="center"/>
          </w:tcPr>
          <w:p w14:paraId="31B29C41">
            <w:pPr>
              <w:pStyle w:val="150"/>
              <w:rPr>
                <w:rFonts w:asciiTheme="majorHAnsi" w:hAnsiTheme="majorHAnsi" w:cstheme="majorHAnsi"/>
                <w:sz w:val="18"/>
                <w:szCs w:val="18"/>
              </w:rPr>
            </w:pPr>
            <w:r>
              <w:rPr>
                <w:rFonts w:asciiTheme="majorHAnsi" w:hAnsiTheme="majorHAnsi" w:cstheme="majorHAnsi"/>
                <w:sz w:val="18"/>
                <w:szCs w:val="18"/>
              </w:rPr>
              <w:t>1</w:t>
            </w:r>
          </w:p>
        </w:tc>
        <w:tc>
          <w:tcPr>
            <w:tcW w:w="692" w:type="pct"/>
            <w:tcBorders>
              <w:top w:val="single" w:color="auto" w:sz="4" w:space="0"/>
              <w:left w:val="nil"/>
              <w:bottom w:val="single" w:color="auto" w:sz="4" w:space="0"/>
              <w:right w:val="single" w:color="auto" w:sz="4" w:space="0"/>
            </w:tcBorders>
            <w:vAlign w:val="center"/>
          </w:tcPr>
          <w:p w14:paraId="2C213FC8">
            <w:pPr>
              <w:pStyle w:val="150"/>
              <w:rPr>
                <w:rFonts w:asciiTheme="majorHAnsi" w:hAnsiTheme="majorHAnsi" w:cstheme="majorHAnsi"/>
                <w:sz w:val="18"/>
                <w:szCs w:val="18"/>
              </w:rPr>
            </w:pPr>
            <w:r>
              <w:rPr>
                <w:rFonts w:asciiTheme="majorHAnsi" w:hAnsiTheme="majorHAnsi" w:cstheme="majorHAnsi"/>
                <w:sz w:val="18"/>
                <w:szCs w:val="18"/>
              </w:rPr>
              <w:t>2</w:t>
            </w:r>
          </w:p>
        </w:tc>
      </w:tr>
      <w:tr w14:paraId="6E2C1701">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06D0E250">
            <w:pPr>
              <w:pStyle w:val="150"/>
              <w:jc w:val="left"/>
              <w:rPr>
                <w:sz w:val="18"/>
                <w:szCs w:val="18"/>
              </w:rPr>
            </w:pPr>
          </w:p>
        </w:tc>
        <w:tc>
          <w:tcPr>
            <w:tcW w:w="2395" w:type="pct"/>
            <w:tcBorders>
              <w:top w:val="single" w:color="auto" w:sz="4" w:space="0"/>
              <w:bottom w:val="single" w:color="auto" w:sz="4" w:space="0"/>
              <w:right w:val="single" w:color="auto" w:sz="4" w:space="0"/>
            </w:tcBorders>
            <w:vAlign w:val="center"/>
          </w:tcPr>
          <w:p w14:paraId="1686D2EF">
            <w:pPr>
              <w:pStyle w:val="150"/>
              <w:jc w:val="left"/>
              <w:rPr>
                <w:sz w:val="18"/>
                <w:szCs w:val="18"/>
              </w:rPr>
            </w:pPr>
            <w:r>
              <w:rPr>
                <w:sz w:val="18"/>
                <w:szCs w:val="18"/>
              </w:rPr>
              <w:t>Održavanje gerontoloških tribina</w:t>
            </w:r>
          </w:p>
        </w:tc>
        <w:tc>
          <w:tcPr>
            <w:tcW w:w="692" w:type="pct"/>
            <w:tcBorders>
              <w:top w:val="single" w:color="auto" w:sz="4" w:space="0"/>
              <w:left w:val="nil"/>
              <w:bottom w:val="single" w:color="auto" w:sz="4" w:space="0"/>
              <w:right w:val="single" w:color="auto" w:sz="4" w:space="0"/>
            </w:tcBorders>
            <w:shd w:val="clear" w:color="auto" w:fill="auto"/>
            <w:vAlign w:val="center"/>
          </w:tcPr>
          <w:p w14:paraId="4D56D352">
            <w:pPr>
              <w:pStyle w:val="150"/>
              <w:rPr>
                <w:rFonts w:asciiTheme="majorHAnsi" w:hAnsiTheme="majorHAnsi" w:cstheme="majorHAnsi"/>
                <w:sz w:val="18"/>
                <w:szCs w:val="18"/>
              </w:rPr>
            </w:pPr>
            <w:r>
              <w:rPr>
                <w:rFonts w:asciiTheme="majorHAnsi" w:hAnsiTheme="majorHAnsi" w:cstheme="majorHAnsi"/>
                <w:sz w:val="18"/>
                <w:szCs w:val="18"/>
              </w:rPr>
              <w:t>3</w:t>
            </w:r>
          </w:p>
        </w:tc>
        <w:tc>
          <w:tcPr>
            <w:tcW w:w="692" w:type="pct"/>
            <w:tcBorders>
              <w:top w:val="single" w:color="auto" w:sz="4" w:space="0"/>
              <w:left w:val="nil"/>
              <w:bottom w:val="single" w:color="auto" w:sz="4" w:space="0"/>
              <w:right w:val="single" w:color="auto" w:sz="4" w:space="0"/>
            </w:tcBorders>
            <w:vAlign w:val="center"/>
          </w:tcPr>
          <w:p w14:paraId="16F5C8FC">
            <w:pPr>
              <w:pStyle w:val="150"/>
              <w:rPr>
                <w:rFonts w:asciiTheme="majorHAnsi" w:hAnsiTheme="majorHAnsi" w:cstheme="majorHAnsi"/>
                <w:sz w:val="18"/>
                <w:szCs w:val="18"/>
              </w:rPr>
            </w:pPr>
            <w:r>
              <w:rPr>
                <w:rFonts w:asciiTheme="majorHAnsi" w:hAnsiTheme="majorHAnsi" w:cstheme="majorHAnsi"/>
                <w:sz w:val="18"/>
                <w:szCs w:val="18"/>
              </w:rPr>
              <w:t>4</w:t>
            </w:r>
          </w:p>
        </w:tc>
      </w:tr>
      <w:tr w14:paraId="1F9F6EDA">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2C7B68B1">
            <w:pPr>
              <w:pStyle w:val="150"/>
              <w:jc w:val="left"/>
              <w:rPr>
                <w:sz w:val="18"/>
                <w:szCs w:val="18"/>
              </w:rPr>
            </w:pPr>
          </w:p>
        </w:tc>
        <w:tc>
          <w:tcPr>
            <w:tcW w:w="2395" w:type="pct"/>
            <w:tcBorders>
              <w:top w:val="single" w:color="auto" w:sz="4" w:space="0"/>
              <w:bottom w:val="single" w:color="auto" w:sz="4" w:space="0"/>
              <w:right w:val="single" w:color="auto" w:sz="4" w:space="0"/>
            </w:tcBorders>
            <w:vAlign w:val="center"/>
          </w:tcPr>
          <w:p w14:paraId="156C145D">
            <w:pPr>
              <w:pStyle w:val="150"/>
              <w:jc w:val="left"/>
              <w:rPr>
                <w:sz w:val="18"/>
                <w:szCs w:val="18"/>
              </w:rPr>
            </w:pPr>
            <w:r>
              <w:rPr>
                <w:sz w:val="18"/>
                <w:szCs w:val="18"/>
              </w:rPr>
              <w:t>Sudjelovanje u izobrazbi specijalizanata iz područja javnozdravstvene medicine i gerijatrije</w:t>
            </w:r>
          </w:p>
        </w:tc>
        <w:tc>
          <w:tcPr>
            <w:tcW w:w="692" w:type="pct"/>
            <w:tcBorders>
              <w:top w:val="single" w:color="auto" w:sz="4" w:space="0"/>
              <w:left w:val="nil"/>
              <w:bottom w:val="single" w:color="auto" w:sz="4" w:space="0"/>
              <w:right w:val="single" w:color="auto" w:sz="4" w:space="0"/>
            </w:tcBorders>
            <w:shd w:val="clear" w:color="auto" w:fill="auto"/>
            <w:vAlign w:val="center"/>
          </w:tcPr>
          <w:p w14:paraId="6E55E0E4">
            <w:pPr>
              <w:pStyle w:val="150"/>
              <w:rPr>
                <w:rFonts w:asciiTheme="majorHAnsi" w:hAnsiTheme="majorHAnsi" w:cstheme="majorHAnsi"/>
                <w:sz w:val="18"/>
                <w:szCs w:val="18"/>
              </w:rPr>
            </w:pPr>
            <w:r>
              <w:rPr>
                <w:rFonts w:asciiTheme="majorHAnsi" w:hAnsiTheme="majorHAnsi" w:cstheme="majorHAnsi"/>
                <w:sz w:val="18"/>
                <w:szCs w:val="18"/>
              </w:rPr>
              <w:t>1</w:t>
            </w:r>
          </w:p>
        </w:tc>
        <w:tc>
          <w:tcPr>
            <w:tcW w:w="692" w:type="pct"/>
            <w:tcBorders>
              <w:top w:val="single" w:color="auto" w:sz="4" w:space="0"/>
              <w:left w:val="nil"/>
              <w:bottom w:val="single" w:color="auto" w:sz="4" w:space="0"/>
              <w:right w:val="single" w:color="auto" w:sz="4" w:space="0"/>
            </w:tcBorders>
            <w:vAlign w:val="center"/>
          </w:tcPr>
          <w:p w14:paraId="6FA17200">
            <w:pPr>
              <w:pStyle w:val="150"/>
              <w:rPr>
                <w:rFonts w:asciiTheme="majorHAnsi" w:hAnsiTheme="majorHAnsi" w:cstheme="majorHAnsi"/>
                <w:sz w:val="18"/>
                <w:szCs w:val="18"/>
              </w:rPr>
            </w:pPr>
            <w:r>
              <w:rPr>
                <w:rFonts w:asciiTheme="majorHAnsi" w:hAnsiTheme="majorHAnsi" w:cstheme="majorHAnsi"/>
                <w:sz w:val="18"/>
                <w:szCs w:val="18"/>
              </w:rPr>
              <w:t>2</w:t>
            </w:r>
          </w:p>
        </w:tc>
      </w:tr>
      <w:tr w14:paraId="28AC82B7">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426C569F">
            <w:pPr>
              <w:pStyle w:val="150"/>
              <w:jc w:val="left"/>
              <w:rPr>
                <w:rFonts w:asciiTheme="minorHAnsi" w:hAnsiTheme="minorHAnsi" w:cstheme="minorHAnsi"/>
                <w:sz w:val="18"/>
                <w:szCs w:val="18"/>
              </w:rPr>
            </w:pPr>
          </w:p>
        </w:tc>
        <w:tc>
          <w:tcPr>
            <w:tcW w:w="2395" w:type="pct"/>
            <w:tcBorders>
              <w:top w:val="single" w:color="auto" w:sz="4" w:space="0"/>
              <w:bottom w:val="single" w:color="auto" w:sz="4" w:space="0"/>
              <w:right w:val="single" w:color="auto" w:sz="4" w:space="0"/>
            </w:tcBorders>
            <w:vAlign w:val="center"/>
          </w:tcPr>
          <w:p w14:paraId="5143D8CB">
            <w:pPr>
              <w:pStyle w:val="150"/>
              <w:jc w:val="left"/>
              <w:rPr>
                <w:sz w:val="18"/>
                <w:szCs w:val="18"/>
              </w:rPr>
            </w:pPr>
            <w:r>
              <w:rPr>
                <w:sz w:val="18"/>
                <w:szCs w:val="18"/>
              </w:rPr>
              <w:t>Edukacije (kongresi/predavanja/ radionice/tečajevi)</w:t>
            </w:r>
          </w:p>
        </w:tc>
        <w:tc>
          <w:tcPr>
            <w:tcW w:w="6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0C514">
            <w:pPr>
              <w:pStyle w:val="150"/>
              <w:rPr>
                <w:rFonts w:asciiTheme="majorHAnsi" w:hAnsiTheme="majorHAnsi" w:cstheme="majorHAnsi"/>
                <w:sz w:val="18"/>
                <w:szCs w:val="18"/>
              </w:rPr>
            </w:pPr>
            <w:r>
              <w:rPr>
                <w:rFonts w:asciiTheme="majorHAnsi" w:hAnsiTheme="majorHAnsi" w:cstheme="majorHAnsi"/>
                <w:sz w:val="18"/>
                <w:szCs w:val="18"/>
              </w:rPr>
              <w:t>19</w:t>
            </w:r>
          </w:p>
        </w:tc>
        <w:tc>
          <w:tcPr>
            <w:tcW w:w="692" w:type="pct"/>
            <w:tcBorders>
              <w:top w:val="single" w:color="auto" w:sz="4" w:space="0"/>
              <w:left w:val="nil"/>
              <w:bottom w:val="single" w:color="auto" w:sz="4" w:space="0"/>
              <w:right w:val="single" w:color="auto" w:sz="4" w:space="0"/>
            </w:tcBorders>
            <w:vAlign w:val="center"/>
          </w:tcPr>
          <w:p w14:paraId="73F5683B">
            <w:pPr>
              <w:pStyle w:val="150"/>
              <w:rPr>
                <w:rFonts w:asciiTheme="majorHAnsi" w:hAnsiTheme="majorHAnsi" w:cstheme="majorHAnsi"/>
                <w:sz w:val="18"/>
                <w:szCs w:val="18"/>
              </w:rPr>
            </w:pPr>
            <w:r>
              <w:rPr>
                <w:rFonts w:asciiTheme="majorHAnsi" w:hAnsiTheme="majorHAnsi" w:cstheme="majorHAnsi"/>
                <w:sz w:val="18"/>
                <w:szCs w:val="18"/>
              </w:rPr>
              <w:t>20</w:t>
            </w:r>
          </w:p>
        </w:tc>
      </w:tr>
      <w:tr w14:paraId="0AA16865">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7D1F73E1">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3AAD70EE">
            <w:pPr>
              <w:pStyle w:val="150"/>
              <w:jc w:val="left"/>
              <w:rPr>
                <w:sz w:val="18"/>
                <w:szCs w:val="18"/>
              </w:rPr>
            </w:pPr>
            <w:r>
              <w:rPr>
                <w:sz w:val="18"/>
                <w:szCs w:val="18"/>
              </w:rPr>
              <w:t>Stručno-metodološki sastanci</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2AD22D68">
            <w:pPr>
              <w:pStyle w:val="150"/>
              <w:rPr>
                <w:rFonts w:asciiTheme="majorHAnsi" w:hAnsiTheme="majorHAnsi" w:cstheme="majorHAnsi"/>
                <w:sz w:val="18"/>
                <w:szCs w:val="18"/>
              </w:rPr>
            </w:pPr>
            <w:r>
              <w:rPr>
                <w:rFonts w:asciiTheme="majorHAnsi" w:hAnsiTheme="majorHAnsi" w:cstheme="majorHAnsi"/>
                <w:sz w:val="18"/>
                <w:szCs w:val="18"/>
              </w:rPr>
              <w:t>2</w:t>
            </w:r>
          </w:p>
        </w:tc>
        <w:tc>
          <w:tcPr>
            <w:tcW w:w="692" w:type="pct"/>
            <w:tcBorders>
              <w:top w:val="single" w:color="auto" w:sz="4" w:space="0"/>
              <w:left w:val="nil"/>
              <w:bottom w:val="single" w:color="auto" w:sz="4" w:space="0"/>
              <w:right w:val="single" w:color="auto" w:sz="4" w:space="0"/>
            </w:tcBorders>
            <w:vAlign w:val="center"/>
          </w:tcPr>
          <w:p w14:paraId="5C24CB8B">
            <w:pPr>
              <w:pStyle w:val="150"/>
              <w:rPr>
                <w:rFonts w:asciiTheme="majorHAnsi" w:hAnsiTheme="majorHAnsi" w:cstheme="majorHAnsi"/>
                <w:sz w:val="18"/>
                <w:szCs w:val="18"/>
              </w:rPr>
            </w:pPr>
            <w:r>
              <w:rPr>
                <w:rFonts w:asciiTheme="majorHAnsi" w:hAnsiTheme="majorHAnsi" w:cstheme="majorHAnsi"/>
                <w:sz w:val="18"/>
                <w:szCs w:val="18"/>
              </w:rPr>
              <w:t>3</w:t>
            </w:r>
          </w:p>
        </w:tc>
      </w:tr>
      <w:tr w14:paraId="2B767FD7">
        <w:tblPrEx>
          <w:tblCellMar>
            <w:top w:w="0" w:type="dxa"/>
            <w:left w:w="108" w:type="dxa"/>
            <w:bottom w:w="0" w:type="dxa"/>
            <w:right w:w="108" w:type="dxa"/>
          </w:tblCellMar>
        </w:tblPrEx>
        <w:trPr>
          <w:trHeight w:val="510" w:hRule="atLeast"/>
          <w:jc w:val="center"/>
        </w:trPr>
        <w:tc>
          <w:tcPr>
            <w:tcW w:w="1220" w:type="pct"/>
            <w:vMerge w:val="restart"/>
            <w:tcBorders>
              <w:top w:val="single" w:color="auto" w:sz="4" w:space="0"/>
              <w:left w:val="single" w:color="auto" w:sz="4" w:space="0"/>
              <w:right w:val="single" w:color="auto" w:sz="4" w:space="0"/>
            </w:tcBorders>
            <w:shd w:val="clear" w:color="auto" w:fill="auto"/>
            <w:vAlign w:val="center"/>
          </w:tcPr>
          <w:p w14:paraId="6D2E9672">
            <w:pPr>
              <w:pStyle w:val="150"/>
              <w:jc w:val="left"/>
              <w:rPr>
                <w:sz w:val="18"/>
                <w:szCs w:val="18"/>
              </w:rPr>
            </w:pPr>
            <w:r>
              <w:rPr>
                <w:sz w:val="18"/>
                <w:szCs w:val="18"/>
              </w:rPr>
              <w:t>4. Znanstveno-istraživačka i publicistička gerontološko-javnozdravstvena djelatnost</w:t>
            </w:r>
          </w:p>
        </w:tc>
        <w:tc>
          <w:tcPr>
            <w:tcW w:w="2395" w:type="pct"/>
            <w:tcBorders>
              <w:top w:val="single" w:color="auto" w:sz="4" w:space="0"/>
              <w:left w:val="nil"/>
              <w:right w:val="single" w:color="auto" w:sz="4" w:space="0"/>
            </w:tcBorders>
            <w:shd w:val="clear" w:color="auto" w:fill="auto"/>
            <w:vAlign w:val="center"/>
          </w:tcPr>
          <w:p w14:paraId="2F4E969D">
            <w:pPr>
              <w:pStyle w:val="150"/>
              <w:jc w:val="left"/>
              <w:rPr>
                <w:sz w:val="18"/>
                <w:szCs w:val="18"/>
              </w:rPr>
            </w:pPr>
            <w:r>
              <w:rPr>
                <w:sz w:val="18"/>
                <w:szCs w:val="18"/>
              </w:rPr>
              <w:t>Savjetovališni rad i odgovaranje na upite o zaštiti zdravlja starijih osoba, gerontološko-javnozdravstvenoj i gerijatrijskoj djelatnosti (individualne konzultacije te savjetovanje putem telefona i e-pošte).</w:t>
            </w:r>
          </w:p>
        </w:tc>
        <w:tc>
          <w:tcPr>
            <w:tcW w:w="692" w:type="pct"/>
            <w:tcBorders>
              <w:top w:val="nil"/>
              <w:left w:val="nil"/>
              <w:right w:val="single" w:color="auto" w:sz="4" w:space="0"/>
            </w:tcBorders>
            <w:shd w:val="clear" w:color="auto" w:fill="auto"/>
            <w:noWrap/>
            <w:vAlign w:val="center"/>
          </w:tcPr>
          <w:p w14:paraId="74F4E0F8">
            <w:pPr>
              <w:pStyle w:val="150"/>
              <w:rPr>
                <w:rFonts w:asciiTheme="majorHAnsi" w:hAnsiTheme="majorHAnsi" w:cstheme="majorHAnsi"/>
                <w:sz w:val="18"/>
                <w:szCs w:val="18"/>
              </w:rPr>
            </w:pPr>
            <w:r>
              <w:rPr>
                <w:rFonts w:asciiTheme="majorHAnsi" w:hAnsiTheme="majorHAnsi" w:cstheme="majorHAnsi"/>
                <w:sz w:val="18"/>
                <w:szCs w:val="18"/>
              </w:rPr>
              <w:t>190</w:t>
            </w:r>
          </w:p>
        </w:tc>
        <w:tc>
          <w:tcPr>
            <w:tcW w:w="692" w:type="pct"/>
            <w:tcBorders>
              <w:top w:val="nil"/>
              <w:left w:val="nil"/>
              <w:right w:val="single" w:color="auto" w:sz="4" w:space="0"/>
            </w:tcBorders>
            <w:vAlign w:val="center"/>
          </w:tcPr>
          <w:p w14:paraId="7167856C">
            <w:pPr>
              <w:pStyle w:val="150"/>
              <w:rPr>
                <w:sz w:val="18"/>
                <w:szCs w:val="18"/>
              </w:rPr>
            </w:pPr>
            <w:r>
              <w:rPr>
                <w:sz w:val="18"/>
                <w:szCs w:val="18"/>
              </w:rPr>
              <w:t>250</w:t>
            </w:r>
          </w:p>
        </w:tc>
      </w:tr>
      <w:tr w14:paraId="7C7EB096">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7C131B77">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0411A590">
            <w:pPr>
              <w:pStyle w:val="150"/>
              <w:jc w:val="left"/>
              <w:rPr>
                <w:spacing w:val="-6"/>
                <w:sz w:val="18"/>
                <w:szCs w:val="18"/>
              </w:rPr>
            </w:pPr>
            <w:r>
              <w:rPr>
                <w:spacing w:val="-6"/>
                <w:sz w:val="18"/>
                <w:szCs w:val="18"/>
              </w:rPr>
              <w:t>Publikacije (časopisi, internetski portali, znanstveni rad, stručni rad, izrada smjernica/preporuka/modifikacija postojećih)</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34092635">
            <w:pPr>
              <w:pStyle w:val="150"/>
              <w:rPr>
                <w:rFonts w:asciiTheme="majorHAnsi" w:hAnsiTheme="majorHAnsi" w:cstheme="majorHAnsi"/>
                <w:sz w:val="18"/>
                <w:szCs w:val="18"/>
              </w:rPr>
            </w:pPr>
            <w:r>
              <w:rPr>
                <w:rFonts w:asciiTheme="majorHAnsi" w:hAnsiTheme="majorHAnsi" w:cstheme="majorHAnsi"/>
                <w:sz w:val="18"/>
                <w:szCs w:val="18"/>
              </w:rPr>
              <w:t>9</w:t>
            </w:r>
          </w:p>
        </w:tc>
        <w:tc>
          <w:tcPr>
            <w:tcW w:w="692" w:type="pct"/>
            <w:tcBorders>
              <w:top w:val="single" w:color="auto" w:sz="4" w:space="0"/>
              <w:left w:val="nil"/>
              <w:bottom w:val="single" w:color="auto" w:sz="4" w:space="0"/>
              <w:right w:val="single" w:color="auto" w:sz="4" w:space="0"/>
            </w:tcBorders>
            <w:vAlign w:val="center"/>
          </w:tcPr>
          <w:p w14:paraId="5E0B8F20">
            <w:pPr>
              <w:pStyle w:val="150"/>
              <w:rPr>
                <w:rFonts w:asciiTheme="majorHAnsi" w:hAnsiTheme="majorHAnsi" w:cstheme="majorHAnsi"/>
                <w:sz w:val="18"/>
                <w:szCs w:val="18"/>
              </w:rPr>
            </w:pPr>
            <w:r>
              <w:rPr>
                <w:rFonts w:asciiTheme="majorHAnsi" w:hAnsiTheme="majorHAnsi" w:cstheme="majorHAnsi"/>
                <w:sz w:val="18"/>
                <w:szCs w:val="18"/>
              </w:rPr>
              <w:t>12</w:t>
            </w:r>
          </w:p>
        </w:tc>
      </w:tr>
      <w:tr w14:paraId="7F08A70B">
        <w:tblPrEx>
          <w:tblCellMar>
            <w:top w:w="0" w:type="dxa"/>
            <w:left w:w="108" w:type="dxa"/>
            <w:bottom w:w="0" w:type="dxa"/>
            <w:right w:w="108" w:type="dxa"/>
          </w:tblCellMar>
        </w:tblPrEx>
        <w:trPr>
          <w:trHeight w:val="510" w:hRule="atLeast"/>
          <w:jc w:val="center"/>
        </w:trPr>
        <w:tc>
          <w:tcPr>
            <w:tcW w:w="1220" w:type="pct"/>
            <w:vMerge w:val="restart"/>
            <w:tcBorders>
              <w:top w:val="single" w:color="auto" w:sz="4" w:space="0"/>
              <w:left w:val="single" w:color="auto" w:sz="4" w:space="0"/>
              <w:right w:val="single" w:color="auto" w:sz="4" w:space="0"/>
            </w:tcBorders>
            <w:shd w:val="clear" w:color="auto" w:fill="auto"/>
            <w:vAlign w:val="center"/>
          </w:tcPr>
          <w:p w14:paraId="23497543">
            <w:pPr>
              <w:pStyle w:val="150"/>
              <w:jc w:val="left"/>
              <w:rPr>
                <w:sz w:val="18"/>
                <w:szCs w:val="18"/>
              </w:rPr>
            </w:pPr>
            <w:r>
              <w:rPr>
                <w:sz w:val="18"/>
                <w:szCs w:val="18"/>
              </w:rPr>
              <w:t>5. Ostale aktivnosti</w:t>
            </w:r>
          </w:p>
        </w:tc>
        <w:tc>
          <w:tcPr>
            <w:tcW w:w="2395" w:type="pct"/>
            <w:tcBorders>
              <w:top w:val="single" w:color="auto" w:sz="4" w:space="0"/>
              <w:left w:val="nil"/>
              <w:bottom w:val="single" w:color="auto" w:sz="4" w:space="0"/>
              <w:right w:val="single" w:color="auto" w:sz="4" w:space="0"/>
            </w:tcBorders>
            <w:shd w:val="clear" w:color="auto" w:fill="auto"/>
            <w:vAlign w:val="center"/>
          </w:tcPr>
          <w:p w14:paraId="54244E1A">
            <w:pPr>
              <w:pStyle w:val="150"/>
              <w:jc w:val="left"/>
              <w:rPr>
                <w:sz w:val="18"/>
                <w:szCs w:val="18"/>
              </w:rPr>
            </w:pPr>
            <w:r>
              <w:rPr>
                <w:sz w:val="18"/>
                <w:szCs w:val="18"/>
              </w:rPr>
              <w:t>Stručni sastanci/sjednice</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0FD50F38">
            <w:pPr>
              <w:pStyle w:val="150"/>
              <w:rPr>
                <w:rFonts w:asciiTheme="majorHAnsi" w:hAnsiTheme="majorHAnsi" w:cstheme="majorHAnsi"/>
                <w:sz w:val="18"/>
                <w:szCs w:val="18"/>
              </w:rPr>
            </w:pPr>
            <w:r>
              <w:rPr>
                <w:rFonts w:asciiTheme="majorHAnsi" w:hAnsiTheme="majorHAnsi" w:cstheme="majorHAnsi"/>
                <w:sz w:val="18"/>
                <w:szCs w:val="18"/>
              </w:rPr>
              <w:t>24</w:t>
            </w:r>
          </w:p>
        </w:tc>
        <w:tc>
          <w:tcPr>
            <w:tcW w:w="692" w:type="pct"/>
            <w:tcBorders>
              <w:top w:val="single" w:color="auto" w:sz="4" w:space="0"/>
              <w:left w:val="nil"/>
              <w:bottom w:val="single" w:color="auto" w:sz="4" w:space="0"/>
              <w:right w:val="single" w:color="auto" w:sz="4" w:space="0"/>
            </w:tcBorders>
            <w:vAlign w:val="center"/>
          </w:tcPr>
          <w:p w14:paraId="7BB58DAA">
            <w:pPr>
              <w:pStyle w:val="150"/>
              <w:rPr>
                <w:rFonts w:asciiTheme="majorHAnsi" w:hAnsiTheme="majorHAnsi" w:cstheme="majorHAnsi"/>
                <w:sz w:val="18"/>
                <w:szCs w:val="18"/>
              </w:rPr>
            </w:pPr>
            <w:r>
              <w:rPr>
                <w:rFonts w:asciiTheme="majorHAnsi" w:hAnsiTheme="majorHAnsi" w:cstheme="majorHAnsi"/>
                <w:sz w:val="18"/>
                <w:szCs w:val="18"/>
              </w:rPr>
              <w:t>20</w:t>
            </w:r>
          </w:p>
        </w:tc>
      </w:tr>
      <w:tr w14:paraId="00D30CD4">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right w:val="single" w:color="auto" w:sz="4" w:space="0"/>
            </w:tcBorders>
            <w:shd w:val="clear" w:color="auto" w:fill="auto"/>
            <w:vAlign w:val="center"/>
          </w:tcPr>
          <w:p w14:paraId="09FD4D9B">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5596E97B">
            <w:pPr>
              <w:pStyle w:val="150"/>
              <w:jc w:val="left"/>
              <w:rPr>
                <w:sz w:val="18"/>
                <w:szCs w:val="18"/>
              </w:rPr>
            </w:pPr>
            <w:r>
              <w:rPr>
                <w:sz w:val="18"/>
                <w:szCs w:val="18"/>
              </w:rPr>
              <w:t>Javnozdravstvene aktivnosti i edukacije</w:t>
            </w:r>
          </w:p>
        </w:tc>
        <w:tc>
          <w:tcPr>
            <w:tcW w:w="692" w:type="pct"/>
            <w:tcBorders>
              <w:top w:val="single" w:color="auto" w:sz="4" w:space="0"/>
              <w:left w:val="nil"/>
              <w:bottom w:val="single" w:color="auto" w:sz="4" w:space="0"/>
              <w:right w:val="single" w:color="auto" w:sz="4" w:space="0"/>
            </w:tcBorders>
            <w:shd w:val="clear" w:color="auto" w:fill="auto"/>
            <w:noWrap/>
            <w:vAlign w:val="center"/>
          </w:tcPr>
          <w:p w14:paraId="1987FA0A">
            <w:pPr>
              <w:pStyle w:val="150"/>
              <w:rPr>
                <w:rFonts w:asciiTheme="majorHAnsi" w:hAnsiTheme="majorHAnsi" w:cstheme="majorHAnsi"/>
                <w:sz w:val="18"/>
                <w:szCs w:val="18"/>
              </w:rPr>
            </w:pPr>
            <w:r>
              <w:rPr>
                <w:rFonts w:asciiTheme="majorHAnsi" w:hAnsiTheme="majorHAnsi" w:cstheme="majorHAnsi"/>
                <w:sz w:val="18"/>
                <w:szCs w:val="18"/>
              </w:rPr>
              <w:t>16</w:t>
            </w:r>
          </w:p>
        </w:tc>
        <w:tc>
          <w:tcPr>
            <w:tcW w:w="692" w:type="pct"/>
            <w:tcBorders>
              <w:top w:val="single" w:color="auto" w:sz="4" w:space="0"/>
              <w:left w:val="nil"/>
              <w:bottom w:val="single" w:color="auto" w:sz="4" w:space="0"/>
              <w:right w:val="single" w:color="auto" w:sz="4" w:space="0"/>
            </w:tcBorders>
            <w:vAlign w:val="center"/>
          </w:tcPr>
          <w:p w14:paraId="109009C2">
            <w:pPr>
              <w:pStyle w:val="150"/>
              <w:rPr>
                <w:rFonts w:asciiTheme="majorHAnsi" w:hAnsiTheme="majorHAnsi" w:cstheme="majorHAnsi"/>
                <w:sz w:val="18"/>
                <w:szCs w:val="18"/>
              </w:rPr>
            </w:pPr>
            <w:r>
              <w:rPr>
                <w:rFonts w:asciiTheme="majorHAnsi" w:hAnsiTheme="majorHAnsi" w:cstheme="majorHAnsi"/>
                <w:sz w:val="18"/>
                <w:szCs w:val="18"/>
              </w:rPr>
              <w:t>20</w:t>
            </w:r>
          </w:p>
        </w:tc>
      </w:tr>
      <w:tr w14:paraId="7CB7DA91">
        <w:tblPrEx>
          <w:tblCellMar>
            <w:top w:w="0" w:type="dxa"/>
            <w:left w:w="108" w:type="dxa"/>
            <w:bottom w:w="0" w:type="dxa"/>
            <w:right w:w="108" w:type="dxa"/>
          </w:tblCellMar>
        </w:tblPrEx>
        <w:trPr>
          <w:trHeight w:val="510" w:hRule="atLeast"/>
          <w:jc w:val="center"/>
        </w:trPr>
        <w:tc>
          <w:tcPr>
            <w:tcW w:w="1220" w:type="pct"/>
            <w:vMerge w:val="continue"/>
            <w:tcBorders>
              <w:left w:val="single" w:color="auto" w:sz="4" w:space="0"/>
              <w:bottom w:val="single" w:color="auto" w:sz="4" w:space="0"/>
              <w:right w:val="single" w:color="auto" w:sz="4" w:space="0"/>
            </w:tcBorders>
            <w:shd w:val="clear" w:color="auto" w:fill="auto"/>
            <w:vAlign w:val="center"/>
          </w:tcPr>
          <w:p w14:paraId="3B9FE114">
            <w:pPr>
              <w:pStyle w:val="150"/>
              <w:jc w:val="left"/>
              <w:rPr>
                <w:sz w:val="18"/>
                <w:szCs w:val="18"/>
              </w:rPr>
            </w:pPr>
          </w:p>
        </w:tc>
        <w:tc>
          <w:tcPr>
            <w:tcW w:w="2395" w:type="pct"/>
            <w:tcBorders>
              <w:top w:val="single" w:color="auto" w:sz="4" w:space="0"/>
              <w:left w:val="nil"/>
              <w:bottom w:val="single" w:color="auto" w:sz="4" w:space="0"/>
              <w:right w:val="single" w:color="auto" w:sz="4" w:space="0"/>
            </w:tcBorders>
            <w:shd w:val="clear" w:color="auto" w:fill="auto"/>
            <w:vAlign w:val="center"/>
          </w:tcPr>
          <w:p w14:paraId="7F8AA1B7">
            <w:pPr>
              <w:pStyle w:val="150"/>
              <w:jc w:val="left"/>
              <w:rPr>
                <w:sz w:val="18"/>
                <w:szCs w:val="18"/>
              </w:rPr>
            </w:pPr>
            <w:r>
              <w:rPr>
                <w:sz w:val="18"/>
                <w:szCs w:val="18"/>
              </w:rPr>
              <w:t>Medijska istupanja</w:t>
            </w:r>
          </w:p>
        </w:tc>
        <w:tc>
          <w:tcPr>
            <w:tcW w:w="692" w:type="pct"/>
            <w:tcBorders>
              <w:top w:val="nil"/>
              <w:left w:val="nil"/>
              <w:bottom w:val="single" w:color="auto" w:sz="4" w:space="0"/>
              <w:right w:val="single" w:color="auto" w:sz="4" w:space="0"/>
            </w:tcBorders>
            <w:shd w:val="clear" w:color="auto" w:fill="auto"/>
            <w:noWrap/>
            <w:vAlign w:val="center"/>
          </w:tcPr>
          <w:p w14:paraId="046AF2E7">
            <w:pPr>
              <w:pStyle w:val="150"/>
              <w:rPr>
                <w:rFonts w:asciiTheme="majorHAnsi" w:hAnsiTheme="majorHAnsi" w:cstheme="majorHAnsi"/>
                <w:sz w:val="18"/>
                <w:szCs w:val="18"/>
              </w:rPr>
            </w:pPr>
            <w:r>
              <w:rPr>
                <w:rFonts w:asciiTheme="majorHAnsi" w:hAnsiTheme="majorHAnsi" w:cstheme="majorHAnsi"/>
                <w:sz w:val="18"/>
                <w:szCs w:val="18"/>
              </w:rPr>
              <w:t>40</w:t>
            </w:r>
          </w:p>
        </w:tc>
        <w:tc>
          <w:tcPr>
            <w:tcW w:w="692" w:type="pct"/>
            <w:tcBorders>
              <w:top w:val="nil"/>
              <w:left w:val="nil"/>
              <w:bottom w:val="single" w:color="auto" w:sz="4" w:space="0"/>
              <w:right w:val="single" w:color="auto" w:sz="4" w:space="0"/>
            </w:tcBorders>
            <w:vAlign w:val="center"/>
          </w:tcPr>
          <w:p w14:paraId="15F5407E">
            <w:pPr>
              <w:pStyle w:val="150"/>
              <w:rPr>
                <w:rFonts w:asciiTheme="majorHAnsi" w:hAnsiTheme="majorHAnsi" w:cstheme="majorHAnsi"/>
                <w:sz w:val="18"/>
                <w:szCs w:val="18"/>
              </w:rPr>
            </w:pPr>
            <w:r>
              <w:rPr>
                <w:rFonts w:asciiTheme="majorHAnsi" w:hAnsiTheme="majorHAnsi" w:cstheme="majorHAnsi"/>
                <w:sz w:val="18"/>
                <w:szCs w:val="18"/>
              </w:rPr>
              <w:t>50</w:t>
            </w:r>
          </w:p>
        </w:tc>
      </w:tr>
    </w:tbl>
    <w:p w14:paraId="346309F5"/>
    <w:p w14:paraId="67DBEC5C">
      <w:r>
        <w:br w:type="page"/>
      </w:r>
    </w:p>
    <w:p w14:paraId="74411BEA"/>
    <w:p w14:paraId="00D8C697">
      <w:pPr>
        <w:pStyle w:val="2"/>
      </w:pPr>
      <w:bookmarkStart w:id="25" w:name="_Toc84862499"/>
      <w:bookmarkStart w:id="26" w:name="_Toc184821165"/>
      <w:r>
        <w:t>7. Služba za školsku i adolescentnu medicinu</w:t>
      </w:r>
      <w:bookmarkEnd w:id="25"/>
      <w:bookmarkEnd w:id="26"/>
    </w:p>
    <w:p w14:paraId="17473599"/>
    <w:p w14:paraId="2BB019C5">
      <w:pPr>
        <w:pStyle w:val="147"/>
      </w:pPr>
      <w:r>
        <w:t>SAŽETAK DJELOKRUGA RADA</w:t>
      </w:r>
    </w:p>
    <w:p w14:paraId="1DD95670">
      <w:r>
        <w:t>Temeljne zadaće Službe:</w:t>
      </w:r>
    </w:p>
    <w:p w14:paraId="35D5BF2F">
      <w:pPr>
        <w:numPr>
          <w:ilvl w:val="0"/>
          <w:numId w:val="41"/>
        </w:numPr>
      </w:pPr>
      <w:r>
        <w:t>rano utvrđivanje i prepoznavanje bolesti i poremećaja</w:t>
      </w:r>
    </w:p>
    <w:p w14:paraId="64144643">
      <w:pPr>
        <w:numPr>
          <w:ilvl w:val="0"/>
          <w:numId w:val="41"/>
        </w:numPr>
      </w:pPr>
      <w:r>
        <w:t>prevencija rizičnih i društveno neprihvatljivih ponašanja</w:t>
      </w:r>
    </w:p>
    <w:p w14:paraId="78D87086">
      <w:pPr>
        <w:numPr>
          <w:ilvl w:val="0"/>
          <w:numId w:val="41"/>
        </w:numPr>
      </w:pPr>
      <w:r>
        <w:t>usvajanje zdravih načina življenja</w:t>
      </w:r>
    </w:p>
    <w:p w14:paraId="2261AC02">
      <w:pPr>
        <w:numPr>
          <w:ilvl w:val="0"/>
          <w:numId w:val="41"/>
        </w:numPr>
      </w:pPr>
      <w:r>
        <w:t>razvoj odgovornosti za vlastito zdravlje</w:t>
      </w:r>
    </w:p>
    <w:p w14:paraId="18108ECA">
      <w:pPr>
        <w:numPr>
          <w:ilvl w:val="0"/>
          <w:numId w:val="41"/>
        </w:numPr>
      </w:pPr>
      <w:r>
        <w:t>zaštita mentalnog zdravlja, osobito u vezi sa školom i školskim okruženjem</w:t>
      </w:r>
    </w:p>
    <w:p w14:paraId="4E42887D">
      <w:pPr>
        <w:numPr>
          <w:ilvl w:val="0"/>
          <w:numId w:val="41"/>
        </w:numPr>
        <w:rPr>
          <w:spacing w:val="-14"/>
        </w:rPr>
      </w:pPr>
      <w:r>
        <w:rPr>
          <w:spacing w:val="-14"/>
        </w:rPr>
        <w:t>zaštita reproduktivnog zdravlja uključujući odgovorno spolno ponašanje i pripravu za roditeljstvo.</w:t>
      </w:r>
    </w:p>
    <w:p w14:paraId="697B0A96"/>
    <w:p w14:paraId="3051FAE7">
      <w:pPr>
        <w:pStyle w:val="147"/>
      </w:pPr>
      <w:r>
        <w:t>OBRAZLOŽENI PROGRAMI, ZAKONSKE I DRUGE PODLOGE NA KOJIMA SE ZASNIVAJU PROGRAMI</w:t>
      </w:r>
    </w:p>
    <w:p w14:paraId="541344A9">
      <w:pPr>
        <w:rPr>
          <w:spacing w:val="-4"/>
        </w:rPr>
      </w:pPr>
      <w:r>
        <w:rPr>
          <w:spacing w:val="-4"/>
        </w:rPr>
        <w:t>Djelatnost, organizacija, kadrovski i radni normativi sadržani su u sljedećim dokumentima:</w:t>
      </w:r>
    </w:p>
    <w:p w14:paraId="023DF1F2">
      <w:pPr>
        <w:numPr>
          <w:ilvl w:val="0"/>
          <w:numId w:val="42"/>
        </w:numPr>
      </w:pPr>
      <w:r>
        <w:t>Zakon o zdravstvenoj zaštiti (NN 100/18, 125/19, 147/20, 119/22)</w:t>
      </w:r>
    </w:p>
    <w:p w14:paraId="1D778FA2">
      <w:pPr>
        <w:numPr>
          <w:ilvl w:val="0"/>
          <w:numId w:val="42"/>
        </w:numPr>
      </w:pPr>
      <w:r>
        <w:t>Zakon o obveznom zdravstvenom osiguranju (NN 80/13, 137/13, 98/19)</w:t>
      </w:r>
    </w:p>
    <w:p w14:paraId="0ECDEE9B">
      <w:pPr>
        <w:numPr>
          <w:ilvl w:val="0"/>
          <w:numId w:val="42"/>
        </w:numPr>
      </w:pPr>
      <w:r>
        <w:t>Zakon o odgoju i obrazovanju u osnovnoj i srednjoj školi (NN 126/12, 94/13, 152/14, 7/17, 68/18, 98/19 i 64/20)</w:t>
      </w:r>
    </w:p>
    <w:p w14:paraId="0D4775FF">
      <w:pPr>
        <w:numPr>
          <w:ilvl w:val="0"/>
          <w:numId w:val="42"/>
        </w:numPr>
      </w:pPr>
      <w:r>
        <w:t>Zakon o zaštiti pučanstva od zaraznih bolesti (NN 143/21)</w:t>
      </w:r>
    </w:p>
    <w:p w14:paraId="09866845">
      <w:pPr>
        <w:numPr>
          <w:ilvl w:val="0"/>
          <w:numId w:val="42"/>
        </w:numPr>
      </w:pPr>
      <w:r>
        <w:t>Zakon o visokom obrazovanju i znanstvenoj djelatnosti (NN 119/22)</w:t>
      </w:r>
    </w:p>
    <w:p w14:paraId="045ACE20">
      <w:pPr>
        <w:numPr>
          <w:ilvl w:val="0"/>
          <w:numId w:val="42"/>
        </w:numPr>
        <w:rPr>
          <w:spacing w:val="-10"/>
        </w:rPr>
      </w:pPr>
      <w:r>
        <w:rPr>
          <w:spacing w:val="-10"/>
        </w:rPr>
        <w:t>Plan i program mjera zdravstvene zaštite iz obaveznog zdravstvenog osiguranja (NN 126/06)</w:t>
      </w:r>
    </w:p>
    <w:p w14:paraId="2AA257CD">
      <w:pPr>
        <w:numPr>
          <w:ilvl w:val="0"/>
          <w:numId w:val="42"/>
        </w:numPr>
      </w:pPr>
      <w:r>
        <w:t>Mreža javne zdravstvene službe (NN 101/12 i 113/15)</w:t>
      </w:r>
    </w:p>
    <w:p w14:paraId="310F1376">
      <w:pPr>
        <w:numPr>
          <w:ilvl w:val="0"/>
          <w:numId w:val="42"/>
        </w:numPr>
      </w:pPr>
      <w:r>
        <w:rPr>
          <w:bCs/>
        </w:rPr>
        <w:t>Odluka o osnovama za sklapanje ugovora o provođenju zdravstvene zaštite iz obveznog zdravstvenog osiguranja (NN</w:t>
      </w:r>
      <w:r>
        <w:t xml:space="preserve"> 106/14)</w:t>
      </w:r>
    </w:p>
    <w:p w14:paraId="2A6A745A">
      <w:pPr>
        <w:numPr>
          <w:ilvl w:val="0"/>
          <w:numId w:val="42"/>
        </w:numPr>
      </w:pPr>
      <w:r>
        <w:t>Pravilnik o osnovnoškolskom i srednjoškolskom odgoju i obrazovanju učenika s teškoćama (NN24/15)</w:t>
      </w:r>
    </w:p>
    <w:p w14:paraId="50FE7C68">
      <w:pPr>
        <w:numPr>
          <w:ilvl w:val="0"/>
          <w:numId w:val="42"/>
        </w:numPr>
      </w:pPr>
      <w:r>
        <w:t>Pravilnik o postupku utvrđivanja psihofizičkoga stanja djeteta, učenika te sastavu stručnoga povjerenstva (NN 55/15)</w:t>
      </w:r>
    </w:p>
    <w:p w14:paraId="4DF78835">
      <w:pPr>
        <w:numPr>
          <w:ilvl w:val="0"/>
          <w:numId w:val="42"/>
        </w:numPr>
      </w:pPr>
      <w:r>
        <w:t>Plan i program obveznog cijepljenja (na godišnjoj razini)</w:t>
      </w:r>
    </w:p>
    <w:p w14:paraId="2C313EB5">
      <w:pPr>
        <w:numPr>
          <w:ilvl w:val="0"/>
          <w:numId w:val="42"/>
        </w:numPr>
      </w:pPr>
      <w:r>
        <w:t>Pravilnik o polaganju državne mature (NN 1/13, 41/19, 127/19, 55/20 i 53/21)</w:t>
      </w:r>
    </w:p>
    <w:p w14:paraId="783F7D58">
      <w:pPr>
        <w:numPr>
          <w:ilvl w:val="0"/>
          <w:numId w:val="42"/>
        </w:numPr>
      </w:pPr>
      <w:r>
        <w:t>Pravilnik o pomoćnicima u nastavi i stručnim komunikacijskim posrednicima (NN 102/18, 59/19, 22/20, 85/24).</w:t>
      </w:r>
    </w:p>
    <w:p w14:paraId="36B87FC5"/>
    <w:p w14:paraId="3B216522">
      <w:pPr>
        <w:rPr>
          <w:bCs/>
          <w:i/>
          <w:iCs/>
        </w:rPr>
      </w:pPr>
      <w:r>
        <w:rPr>
          <w:bCs/>
          <w:i/>
          <w:iCs/>
        </w:rPr>
        <w:t>Tablica 1. – Aktivnosti i izvori financiranja</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4939"/>
        <w:gridCol w:w="2321"/>
      </w:tblGrid>
      <w:tr w14:paraId="4BDA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trPr>
        <w:tc>
          <w:tcPr>
            <w:tcW w:w="1092" w:type="pct"/>
            <w:tcBorders>
              <w:bottom w:val="double" w:color="auto" w:sz="4" w:space="0"/>
            </w:tcBorders>
          </w:tcPr>
          <w:p w14:paraId="0B31A9F0">
            <w:pPr>
              <w:pStyle w:val="150"/>
              <w:jc w:val="left"/>
              <w:rPr>
                <w:i/>
                <w:iCs w:val="0"/>
                <w:sz w:val="20"/>
                <w:szCs w:val="20"/>
              </w:rPr>
            </w:pPr>
            <w:r>
              <w:rPr>
                <w:i/>
                <w:iCs w:val="0"/>
                <w:sz w:val="20"/>
                <w:szCs w:val="20"/>
              </w:rPr>
              <w:t>Aktivnost</w:t>
            </w:r>
          </w:p>
        </w:tc>
        <w:tc>
          <w:tcPr>
            <w:tcW w:w="2659" w:type="pct"/>
            <w:tcBorders>
              <w:bottom w:val="double" w:color="auto" w:sz="4" w:space="0"/>
            </w:tcBorders>
          </w:tcPr>
          <w:p w14:paraId="0B5114D6">
            <w:pPr>
              <w:pStyle w:val="150"/>
              <w:jc w:val="left"/>
              <w:rPr>
                <w:i/>
                <w:iCs w:val="0"/>
                <w:sz w:val="20"/>
                <w:szCs w:val="20"/>
              </w:rPr>
            </w:pPr>
            <w:r>
              <w:rPr>
                <w:i/>
                <w:iCs w:val="0"/>
                <w:sz w:val="20"/>
                <w:szCs w:val="20"/>
              </w:rPr>
              <w:t>Opis aktivnosti</w:t>
            </w:r>
          </w:p>
        </w:tc>
        <w:tc>
          <w:tcPr>
            <w:tcW w:w="1249" w:type="pct"/>
            <w:tcBorders>
              <w:bottom w:val="double" w:color="auto" w:sz="4" w:space="0"/>
            </w:tcBorders>
          </w:tcPr>
          <w:p w14:paraId="40991582">
            <w:pPr>
              <w:pStyle w:val="150"/>
              <w:jc w:val="left"/>
              <w:rPr>
                <w:i/>
                <w:iCs w:val="0"/>
                <w:sz w:val="20"/>
                <w:szCs w:val="20"/>
              </w:rPr>
            </w:pPr>
            <w:r>
              <w:rPr>
                <w:i/>
                <w:iCs w:val="0"/>
                <w:sz w:val="20"/>
                <w:szCs w:val="20"/>
              </w:rPr>
              <w:t>Izvori financiranja</w:t>
            </w:r>
          </w:p>
        </w:tc>
      </w:tr>
      <w:tr w14:paraId="3C79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92" w:type="pct"/>
            <w:tcBorders>
              <w:top w:val="double" w:color="auto" w:sz="4" w:space="0"/>
            </w:tcBorders>
          </w:tcPr>
          <w:p w14:paraId="27AEF7EA">
            <w:pPr>
              <w:pStyle w:val="150"/>
              <w:jc w:val="left"/>
              <w:rPr>
                <w:sz w:val="20"/>
                <w:szCs w:val="20"/>
              </w:rPr>
            </w:pPr>
            <w:bookmarkStart w:id="27" w:name="_Toc372285411"/>
            <w:r>
              <w:rPr>
                <w:sz w:val="20"/>
                <w:szCs w:val="20"/>
              </w:rPr>
              <w:t>Rano prepoznavanje i uočavanje poremećaja i bolest</w:t>
            </w:r>
            <w:bookmarkEnd w:id="27"/>
          </w:p>
        </w:tc>
        <w:tc>
          <w:tcPr>
            <w:tcW w:w="2659" w:type="pct"/>
            <w:tcBorders>
              <w:top w:val="double" w:color="auto" w:sz="4" w:space="0"/>
            </w:tcBorders>
          </w:tcPr>
          <w:p w14:paraId="7E698AF2">
            <w:pPr>
              <w:pStyle w:val="150"/>
              <w:numPr>
                <w:ilvl w:val="0"/>
                <w:numId w:val="43"/>
              </w:numPr>
              <w:jc w:val="left"/>
              <w:rPr>
                <w:sz w:val="20"/>
                <w:szCs w:val="20"/>
              </w:rPr>
            </w:pPr>
            <w:r>
              <w:rPr>
                <w:sz w:val="20"/>
                <w:szCs w:val="20"/>
              </w:rPr>
              <w:t>sistematski pregledi prije upisa u prvi razred osnovne škole</w:t>
            </w:r>
          </w:p>
          <w:p w14:paraId="320455EF">
            <w:pPr>
              <w:pStyle w:val="150"/>
              <w:numPr>
                <w:ilvl w:val="0"/>
                <w:numId w:val="43"/>
              </w:numPr>
              <w:jc w:val="left"/>
              <w:rPr>
                <w:sz w:val="20"/>
                <w:szCs w:val="20"/>
              </w:rPr>
            </w:pPr>
            <w:r>
              <w:rPr>
                <w:sz w:val="20"/>
                <w:szCs w:val="20"/>
              </w:rPr>
              <w:t>sistematski pregledi u osnovnoj školi</w:t>
            </w:r>
          </w:p>
          <w:p w14:paraId="6B617A94">
            <w:pPr>
              <w:pStyle w:val="150"/>
              <w:numPr>
                <w:ilvl w:val="0"/>
                <w:numId w:val="43"/>
              </w:numPr>
              <w:jc w:val="left"/>
              <w:rPr>
                <w:sz w:val="20"/>
                <w:szCs w:val="20"/>
              </w:rPr>
            </w:pPr>
            <w:r>
              <w:rPr>
                <w:sz w:val="20"/>
                <w:szCs w:val="20"/>
              </w:rPr>
              <w:t>sistematski pregledi u srednjoj školi</w:t>
            </w:r>
          </w:p>
          <w:p w14:paraId="15A867EB">
            <w:pPr>
              <w:pStyle w:val="150"/>
              <w:numPr>
                <w:ilvl w:val="0"/>
                <w:numId w:val="43"/>
              </w:numPr>
              <w:jc w:val="left"/>
              <w:rPr>
                <w:sz w:val="20"/>
                <w:szCs w:val="20"/>
              </w:rPr>
            </w:pPr>
            <w:r>
              <w:rPr>
                <w:sz w:val="20"/>
                <w:szCs w:val="20"/>
              </w:rPr>
              <w:t>sistematski pregledi studenata</w:t>
            </w:r>
          </w:p>
          <w:p w14:paraId="78A7686D">
            <w:pPr>
              <w:pStyle w:val="150"/>
              <w:numPr>
                <w:ilvl w:val="0"/>
                <w:numId w:val="43"/>
              </w:numPr>
              <w:jc w:val="left"/>
              <w:rPr>
                <w:spacing w:val="-6"/>
                <w:sz w:val="20"/>
                <w:szCs w:val="20"/>
              </w:rPr>
            </w:pPr>
            <w:r>
              <w:rPr>
                <w:spacing w:val="-6"/>
                <w:sz w:val="20"/>
                <w:szCs w:val="20"/>
              </w:rPr>
              <w:t>namjenski i drugi pregledi prema zdravstvenoj indikaciji</w:t>
            </w:r>
          </w:p>
          <w:p w14:paraId="495E176E">
            <w:pPr>
              <w:pStyle w:val="150"/>
              <w:numPr>
                <w:ilvl w:val="0"/>
                <w:numId w:val="43"/>
              </w:numPr>
              <w:jc w:val="left"/>
              <w:rPr>
                <w:sz w:val="20"/>
                <w:szCs w:val="20"/>
              </w:rPr>
            </w:pPr>
            <w:r>
              <w:rPr>
                <w:sz w:val="20"/>
                <w:szCs w:val="20"/>
              </w:rPr>
              <w:t>kontrolni pregledi nakon preventivnih aktivnosti</w:t>
            </w:r>
          </w:p>
          <w:p w14:paraId="39B5BE4A">
            <w:pPr>
              <w:pStyle w:val="150"/>
              <w:numPr>
                <w:ilvl w:val="0"/>
                <w:numId w:val="43"/>
              </w:numPr>
              <w:jc w:val="left"/>
              <w:rPr>
                <w:sz w:val="20"/>
                <w:szCs w:val="20"/>
              </w:rPr>
            </w:pPr>
            <w:r>
              <w:rPr>
                <w:sz w:val="20"/>
                <w:szCs w:val="20"/>
              </w:rPr>
              <w:t>probiri u školskoj i studentskoj populaciji</w:t>
            </w:r>
          </w:p>
        </w:tc>
        <w:tc>
          <w:tcPr>
            <w:tcW w:w="1249" w:type="pct"/>
            <w:tcBorders>
              <w:top w:val="double" w:color="auto" w:sz="4" w:space="0"/>
            </w:tcBorders>
          </w:tcPr>
          <w:p w14:paraId="0C51E2DF">
            <w:pPr>
              <w:pStyle w:val="150"/>
              <w:jc w:val="left"/>
              <w:rPr>
                <w:sz w:val="20"/>
                <w:szCs w:val="20"/>
              </w:rPr>
            </w:pPr>
            <w:r>
              <w:rPr>
                <w:sz w:val="20"/>
                <w:szCs w:val="20"/>
              </w:rPr>
              <w:t>HZZO ugovori za provedbu Plana i programa specifičnih i preventivnih mjera zdravstvene zaštite školske djece, mladih i studenata</w:t>
            </w:r>
          </w:p>
        </w:tc>
      </w:tr>
      <w:tr w14:paraId="4AEA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2" w:type="pct"/>
          </w:tcPr>
          <w:p w14:paraId="0F793C1B">
            <w:pPr>
              <w:pStyle w:val="150"/>
              <w:jc w:val="left"/>
              <w:rPr>
                <w:sz w:val="20"/>
                <w:szCs w:val="20"/>
              </w:rPr>
            </w:pPr>
            <w:bookmarkStart w:id="28" w:name="_Toc372285412"/>
            <w:r>
              <w:rPr>
                <w:sz w:val="20"/>
                <w:szCs w:val="20"/>
              </w:rPr>
              <w:t>Prevencija bolesti i poremećaja</w:t>
            </w:r>
            <w:bookmarkEnd w:id="28"/>
          </w:p>
        </w:tc>
        <w:tc>
          <w:tcPr>
            <w:tcW w:w="2659" w:type="pct"/>
          </w:tcPr>
          <w:p w14:paraId="39038F7B">
            <w:pPr>
              <w:pStyle w:val="150"/>
              <w:numPr>
                <w:ilvl w:val="0"/>
                <w:numId w:val="44"/>
              </w:numPr>
              <w:jc w:val="left"/>
              <w:rPr>
                <w:spacing w:val="-6"/>
                <w:sz w:val="20"/>
                <w:szCs w:val="20"/>
              </w:rPr>
            </w:pPr>
            <w:r>
              <w:rPr>
                <w:spacing w:val="-6"/>
                <w:sz w:val="20"/>
                <w:szCs w:val="20"/>
              </w:rPr>
              <w:t>cijepljenja školske djece i studenata (redoviti program)</w:t>
            </w:r>
          </w:p>
          <w:p w14:paraId="58A439F3">
            <w:pPr>
              <w:pStyle w:val="150"/>
              <w:numPr>
                <w:ilvl w:val="0"/>
                <w:numId w:val="44"/>
              </w:numPr>
              <w:jc w:val="left"/>
              <w:rPr>
                <w:sz w:val="20"/>
                <w:szCs w:val="20"/>
              </w:rPr>
            </w:pPr>
            <w:r>
              <w:rPr>
                <w:sz w:val="20"/>
                <w:szCs w:val="20"/>
              </w:rPr>
              <w:t>cijepljenja školske djece i studenata (dodatna obvezna prema Zakonu o zaštiti pučanstva od zaraznih bolesti)</w:t>
            </w:r>
          </w:p>
          <w:p w14:paraId="2F4FF812">
            <w:pPr>
              <w:pStyle w:val="150"/>
              <w:numPr>
                <w:ilvl w:val="0"/>
                <w:numId w:val="44"/>
              </w:numPr>
              <w:jc w:val="left"/>
              <w:rPr>
                <w:spacing w:val="-6"/>
                <w:sz w:val="20"/>
                <w:szCs w:val="20"/>
              </w:rPr>
            </w:pPr>
            <w:r>
              <w:rPr>
                <w:spacing w:val="-6"/>
                <w:sz w:val="20"/>
                <w:szCs w:val="20"/>
              </w:rPr>
              <w:t>cijepljenja školske djece i studenata (dodatna neobvezna prema posebnim programima ili na zahtjev)</w:t>
            </w:r>
          </w:p>
          <w:p w14:paraId="29EC8762">
            <w:pPr>
              <w:pStyle w:val="150"/>
              <w:numPr>
                <w:ilvl w:val="0"/>
                <w:numId w:val="44"/>
              </w:numPr>
              <w:jc w:val="left"/>
              <w:rPr>
                <w:sz w:val="20"/>
                <w:szCs w:val="20"/>
              </w:rPr>
            </w:pPr>
            <w:r>
              <w:rPr>
                <w:sz w:val="20"/>
                <w:szCs w:val="20"/>
              </w:rPr>
              <w:t>nadzor nad prehranom (obilazak škola i školskih kuhinja, sudjelovanje pri izradi jelovnika)</w:t>
            </w:r>
          </w:p>
        </w:tc>
        <w:tc>
          <w:tcPr>
            <w:tcW w:w="1249" w:type="pct"/>
          </w:tcPr>
          <w:p w14:paraId="721280F5">
            <w:pPr>
              <w:pStyle w:val="150"/>
              <w:jc w:val="left"/>
              <w:rPr>
                <w:sz w:val="20"/>
                <w:szCs w:val="20"/>
              </w:rPr>
            </w:pPr>
            <w:r>
              <w:rPr>
                <w:sz w:val="20"/>
                <w:szCs w:val="20"/>
              </w:rPr>
              <w:t>HZZO ugovori za provedbu Plana i programa specifičnih i preventivnih mjera zdravstvene zaštite školske djece, mladih i studenata</w:t>
            </w:r>
          </w:p>
        </w:tc>
      </w:tr>
      <w:tr w14:paraId="6729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92" w:type="pct"/>
          </w:tcPr>
          <w:p w14:paraId="13CDFB2D">
            <w:pPr>
              <w:pStyle w:val="150"/>
              <w:jc w:val="left"/>
              <w:rPr>
                <w:sz w:val="20"/>
                <w:szCs w:val="20"/>
              </w:rPr>
            </w:pPr>
            <w:bookmarkStart w:id="29" w:name="_Toc372285413"/>
            <w:r>
              <w:rPr>
                <w:sz w:val="20"/>
                <w:szCs w:val="20"/>
              </w:rPr>
              <w:t>Mjere zaštite djece i mladih s poremećajima zdravlja</w:t>
            </w:r>
            <w:bookmarkEnd w:id="29"/>
          </w:p>
        </w:tc>
        <w:tc>
          <w:tcPr>
            <w:tcW w:w="2659" w:type="pct"/>
          </w:tcPr>
          <w:p w14:paraId="6029B4D4">
            <w:pPr>
              <w:pStyle w:val="150"/>
              <w:numPr>
                <w:ilvl w:val="0"/>
                <w:numId w:val="45"/>
              </w:numPr>
              <w:jc w:val="left"/>
              <w:rPr>
                <w:sz w:val="20"/>
                <w:szCs w:val="20"/>
              </w:rPr>
            </w:pPr>
            <w:r>
              <w:rPr>
                <w:sz w:val="20"/>
                <w:szCs w:val="20"/>
              </w:rPr>
              <w:t>savjetovališni rad za učenike, studente, roditelje/staratelje i djelatnike škole zbog kroničnih poremećaja zdravlja i teškoći učenja</w:t>
            </w:r>
          </w:p>
          <w:p w14:paraId="3B0B0DCB">
            <w:pPr>
              <w:pStyle w:val="150"/>
              <w:numPr>
                <w:ilvl w:val="0"/>
                <w:numId w:val="45"/>
              </w:numPr>
              <w:jc w:val="left"/>
              <w:rPr>
                <w:sz w:val="20"/>
                <w:szCs w:val="20"/>
              </w:rPr>
            </w:pPr>
            <w:r>
              <w:rPr>
                <w:sz w:val="20"/>
                <w:szCs w:val="20"/>
              </w:rPr>
              <w:t>utvrđivanja psihofizičkog stanja djece radi uvođenja primjerenog programa školovanja (multidisciplinarna povjerenstva)</w:t>
            </w:r>
          </w:p>
          <w:p w14:paraId="321D0A5A">
            <w:pPr>
              <w:pStyle w:val="150"/>
              <w:numPr>
                <w:ilvl w:val="0"/>
                <w:numId w:val="45"/>
              </w:numPr>
              <w:jc w:val="left"/>
              <w:rPr>
                <w:sz w:val="20"/>
                <w:szCs w:val="20"/>
              </w:rPr>
            </w:pPr>
            <w:r>
              <w:rPr>
                <w:sz w:val="20"/>
                <w:szCs w:val="20"/>
              </w:rPr>
              <w:t>timska sinteza (završni dio prosudbenog postupka)</w:t>
            </w:r>
          </w:p>
          <w:p w14:paraId="1F22DDDD">
            <w:pPr>
              <w:pStyle w:val="150"/>
              <w:numPr>
                <w:ilvl w:val="0"/>
                <w:numId w:val="45"/>
              </w:numPr>
              <w:jc w:val="left"/>
              <w:rPr>
                <w:sz w:val="20"/>
                <w:szCs w:val="20"/>
              </w:rPr>
            </w:pPr>
            <w:r>
              <w:rPr>
                <w:sz w:val="20"/>
                <w:szCs w:val="20"/>
              </w:rPr>
              <w:t>pregled u svrhu utvrđivanja potrebe prilagođenog programa tjelesne i zdravstvene kulture</w:t>
            </w:r>
          </w:p>
          <w:p w14:paraId="17A61F7C">
            <w:pPr>
              <w:pStyle w:val="150"/>
              <w:numPr>
                <w:ilvl w:val="0"/>
                <w:numId w:val="45"/>
              </w:numPr>
              <w:jc w:val="left"/>
              <w:rPr>
                <w:spacing w:val="-12"/>
                <w:sz w:val="20"/>
                <w:szCs w:val="20"/>
              </w:rPr>
            </w:pPr>
            <w:r>
              <w:rPr>
                <w:spacing w:val="-12"/>
                <w:sz w:val="20"/>
                <w:szCs w:val="20"/>
              </w:rPr>
              <w:t>pregled radi utvrđivanja potrebe za pomoćnikom u nastavi</w:t>
            </w:r>
          </w:p>
          <w:p w14:paraId="5B12945D">
            <w:pPr>
              <w:pStyle w:val="150"/>
              <w:numPr>
                <w:ilvl w:val="0"/>
                <w:numId w:val="45"/>
              </w:numPr>
              <w:jc w:val="left"/>
              <w:rPr>
                <w:sz w:val="20"/>
                <w:szCs w:val="20"/>
              </w:rPr>
            </w:pPr>
            <w:r>
              <w:rPr>
                <w:sz w:val="20"/>
                <w:szCs w:val="20"/>
              </w:rPr>
              <w:t>pregled u svrhu prilagodbe ispitne tehnologije državne mature</w:t>
            </w:r>
          </w:p>
          <w:p w14:paraId="72D29617">
            <w:pPr>
              <w:pStyle w:val="150"/>
              <w:numPr>
                <w:ilvl w:val="0"/>
                <w:numId w:val="45"/>
              </w:numPr>
              <w:jc w:val="left"/>
              <w:rPr>
                <w:sz w:val="20"/>
                <w:szCs w:val="20"/>
              </w:rPr>
            </w:pPr>
            <w:r>
              <w:rPr>
                <w:sz w:val="20"/>
                <w:szCs w:val="20"/>
              </w:rPr>
              <w:t>nadzor nad prehranom (obilazak škola i sudjelovanje pri izradi jelovnika za djecu sa zdravstvenim poteškoćama)</w:t>
            </w:r>
          </w:p>
        </w:tc>
        <w:tc>
          <w:tcPr>
            <w:tcW w:w="1249" w:type="pct"/>
          </w:tcPr>
          <w:p w14:paraId="13D4D630">
            <w:pPr>
              <w:pStyle w:val="150"/>
              <w:jc w:val="left"/>
              <w:rPr>
                <w:sz w:val="20"/>
                <w:szCs w:val="20"/>
              </w:rPr>
            </w:pPr>
            <w:r>
              <w:rPr>
                <w:sz w:val="20"/>
                <w:szCs w:val="20"/>
              </w:rPr>
              <w:t>HZZO ugovori za provedbu Plana i programa specifičnih i preventivnih mjera zdravstvene zaštite školske djece, mladih i studenata</w:t>
            </w:r>
          </w:p>
        </w:tc>
      </w:tr>
      <w:tr w14:paraId="6A7B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92" w:type="pct"/>
          </w:tcPr>
          <w:p w14:paraId="42814682">
            <w:pPr>
              <w:pStyle w:val="150"/>
              <w:jc w:val="left"/>
              <w:rPr>
                <w:sz w:val="20"/>
                <w:szCs w:val="20"/>
              </w:rPr>
            </w:pPr>
            <w:bookmarkStart w:id="30" w:name="_Toc372285414"/>
            <w:r>
              <w:rPr>
                <w:sz w:val="20"/>
                <w:szCs w:val="20"/>
              </w:rPr>
              <w:t>Unaprjeđenje zdravlja školske djece i studenata</w:t>
            </w:r>
            <w:bookmarkEnd w:id="30"/>
          </w:p>
        </w:tc>
        <w:tc>
          <w:tcPr>
            <w:tcW w:w="2659" w:type="pct"/>
          </w:tcPr>
          <w:p w14:paraId="747AC8E8">
            <w:pPr>
              <w:pStyle w:val="150"/>
              <w:numPr>
                <w:ilvl w:val="0"/>
                <w:numId w:val="46"/>
              </w:numPr>
              <w:jc w:val="left"/>
              <w:rPr>
                <w:sz w:val="20"/>
                <w:szCs w:val="20"/>
              </w:rPr>
            </w:pPr>
            <w:r>
              <w:rPr>
                <w:sz w:val="20"/>
                <w:szCs w:val="20"/>
              </w:rPr>
              <w:t>zdravstveni odgoj školske djece i adolescenata</w:t>
            </w:r>
          </w:p>
          <w:p w14:paraId="257A6AC3">
            <w:pPr>
              <w:pStyle w:val="150"/>
              <w:numPr>
                <w:ilvl w:val="0"/>
                <w:numId w:val="46"/>
              </w:numPr>
              <w:jc w:val="left"/>
              <w:rPr>
                <w:sz w:val="20"/>
                <w:szCs w:val="20"/>
              </w:rPr>
            </w:pPr>
            <w:r>
              <w:rPr>
                <w:sz w:val="20"/>
                <w:szCs w:val="20"/>
              </w:rPr>
              <w:t>zdravstveni odgoj za roditelje</w:t>
            </w:r>
          </w:p>
          <w:p w14:paraId="645E85B1">
            <w:pPr>
              <w:pStyle w:val="150"/>
              <w:numPr>
                <w:ilvl w:val="0"/>
                <w:numId w:val="46"/>
              </w:numPr>
              <w:jc w:val="left"/>
              <w:rPr>
                <w:sz w:val="20"/>
                <w:szCs w:val="20"/>
              </w:rPr>
            </w:pPr>
            <w:r>
              <w:rPr>
                <w:sz w:val="20"/>
                <w:szCs w:val="20"/>
              </w:rPr>
              <w:t>zdravstveni odgoj za nastavnike/stručne suradnike</w:t>
            </w:r>
          </w:p>
          <w:p w14:paraId="193BC2C0">
            <w:pPr>
              <w:pStyle w:val="150"/>
              <w:numPr>
                <w:ilvl w:val="0"/>
                <w:numId w:val="46"/>
              </w:numPr>
              <w:jc w:val="left"/>
              <w:rPr>
                <w:sz w:val="20"/>
                <w:szCs w:val="20"/>
              </w:rPr>
            </w:pPr>
            <w:r>
              <w:rPr>
                <w:sz w:val="20"/>
                <w:szCs w:val="20"/>
              </w:rPr>
              <w:t>zdravstveno-edukativne tribine za studente</w:t>
            </w:r>
          </w:p>
          <w:p w14:paraId="24AB055C">
            <w:pPr>
              <w:pStyle w:val="150"/>
              <w:numPr>
                <w:ilvl w:val="0"/>
                <w:numId w:val="46"/>
              </w:numPr>
              <w:jc w:val="left"/>
              <w:rPr>
                <w:spacing w:val="-6"/>
                <w:sz w:val="20"/>
                <w:szCs w:val="20"/>
              </w:rPr>
            </w:pPr>
            <w:r>
              <w:rPr>
                <w:spacing w:val="-6"/>
                <w:sz w:val="20"/>
                <w:szCs w:val="20"/>
              </w:rPr>
              <w:t>savjetovališni rad u nadležnim školskim ambulantama</w:t>
            </w:r>
          </w:p>
          <w:p w14:paraId="4FF96A72">
            <w:pPr>
              <w:pStyle w:val="150"/>
              <w:numPr>
                <w:ilvl w:val="0"/>
                <w:numId w:val="46"/>
              </w:numPr>
              <w:jc w:val="left"/>
              <w:rPr>
                <w:spacing w:val="-6"/>
                <w:sz w:val="20"/>
                <w:szCs w:val="20"/>
              </w:rPr>
            </w:pPr>
            <w:r>
              <w:rPr>
                <w:spacing w:val="-6"/>
                <w:sz w:val="20"/>
                <w:szCs w:val="20"/>
              </w:rPr>
              <w:t>konzultacije s nastavnicima i stručnim suradnicima škole</w:t>
            </w:r>
          </w:p>
        </w:tc>
        <w:tc>
          <w:tcPr>
            <w:tcW w:w="1249" w:type="pct"/>
          </w:tcPr>
          <w:p w14:paraId="2E7570F4">
            <w:pPr>
              <w:pStyle w:val="150"/>
              <w:jc w:val="left"/>
              <w:rPr>
                <w:sz w:val="20"/>
                <w:szCs w:val="20"/>
              </w:rPr>
            </w:pPr>
            <w:r>
              <w:rPr>
                <w:sz w:val="20"/>
                <w:szCs w:val="20"/>
              </w:rPr>
              <w:t>HZZO ugovori za provedbu Plana i programa specifičnih i preventivnih mjera zdravstvene zaštite školske djece, mladih i studenata</w:t>
            </w:r>
          </w:p>
        </w:tc>
      </w:tr>
      <w:tr w14:paraId="78D6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92" w:type="pct"/>
          </w:tcPr>
          <w:p w14:paraId="100CCE59">
            <w:pPr>
              <w:pStyle w:val="150"/>
              <w:jc w:val="left"/>
              <w:rPr>
                <w:sz w:val="20"/>
                <w:szCs w:val="20"/>
              </w:rPr>
            </w:pPr>
            <w:r>
              <w:rPr>
                <w:sz w:val="20"/>
                <w:szCs w:val="20"/>
              </w:rPr>
              <w:t>Programi</w:t>
            </w:r>
          </w:p>
        </w:tc>
        <w:tc>
          <w:tcPr>
            <w:tcW w:w="2659" w:type="pct"/>
          </w:tcPr>
          <w:p w14:paraId="5654F90F">
            <w:pPr>
              <w:pStyle w:val="150"/>
              <w:jc w:val="left"/>
              <w:rPr>
                <w:sz w:val="20"/>
                <w:szCs w:val="20"/>
              </w:rPr>
            </w:pPr>
            <w:r>
              <w:rPr>
                <w:sz w:val="20"/>
                <w:szCs w:val="20"/>
              </w:rPr>
              <w:t>Savjetovalište za školsku djecu i mlade – prevencija HPV infekcija i drugih SPB, teškoća prilagodbe u školskom okruženju i poremećaja prehrane</w:t>
            </w:r>
          </w:p>
        </w:tc>
        <w:tc>
          <w:tcPr>
            <w:tcW w:w="1249" w:type="pct"/>
          </w:tcPr>
          <w:p w14:paraId="14E38E4B">
            <w:pPr>
              <w:pStyle w:val="150"/>
              <w:jc w:val="left"/>
              <w:rPr>
                <w:sz w:val="20"/>
                <w:szCs w:val="20"/>
              </w:rPr>
            </w:pPr>
            <w:r>
              <w:rPr>
                <w:sz w:val="20"/>
                <w:szCs w:val="20"/>
              </w:rPr>
              <w:t>financiranje temeljem ugovora s Gradskim uredom za socijalnu skrb, zdravstvo i osobe s invaliditetom</w:t>
            </w:r>
          </w:p>
        </w:tc>
      </w:tr>
    </w:tbl>
    <w:p w14:paraId="57C1E6F9">
      <w:pPr>
        <w:rPr>
          <w:bCs/>
        </w:rPr>
      </w:pPr>
    </w:p>
    <w:p w14:paraId="41DC287A">
      <w:pPr>
        <w:rPr>
          <w:bCs/>
        </w:rPr>
      </w:pPr>
    </w:p>
    <w:p w14:paraId="04C8C41A">
      <w:pPr>
        <w:pStyle w:val="147"/>
        <w:rPr>
          <w:spacing w:val="-12"/>
        </w:rPr>
      </w:pPr>
      <w:r>
        <w:rPr>
          <w:spacing w:val="-12"/>
        </w:rPr>
        <w:t>USKLAĐENI CILJEVI, STRATEGIJE I PROGRAMI S DOKUMENTIMA DUGOROČNOG RAZVOJA</w:t>
      </w:r>
    </w:p>
    <w:p w14:paraId="2517DF32">
      <w:pPr>
        <w:rPr>
          <w:spacing w:val="-2"/>
        </w:rPr>
      </w:pPr>
      <w:r>
        <w:rPr>
          <w:spacing w:val="-2"/>
        </w:rPr>
        <w:t>Djeca i mladi zahtijevaju poseban pristup pa u pružanju zdravstvene zaštite treba omogućiti da usluge dolaze do mladih, a zdravstveni profesionalci, kojima se mogu obratiti, svojim kvalifikacijama trebaju nadilaziti klasično obrazovane zdravstvene radnike.</w:t>
      </w:r>
    </w:p>
    <w:p w14:paraId="1FDA4FDF">
      <w:r>
        <w:t>Takve potrebe zahtijevaju prilagodbu organizacije pružanja zdravstvenih usluga i drugačiji pristup zdravstvenih radnika te uključivanje profesionalaca različitih struka. Osoblje koje radi s mladima, treba biti posebno educirano te posjedovati znanje iz područja adolescentske psihologije i razvoja, imati razvijene interpersonalne vještine te biti senzibilizirano za različitosti.</w:t>
      </w:r>
    </w:p>
    <w:p w14:paraId="1536CE45">
      <w:r>
        <w:t>Pristup preventivnoj zdravstvenoj zaštiti mladih prema suvremenim pokazateljima ukazuje na sve prisutnije probleme mentalnog zdravlja i neprilagođenog ponašanja, eksperimentiranja i konzumiranja tvari koje mogu uzrokovati ovisnost, posljedice loših navika i načina življenja probleme reproduktivnog zdravlja i spolno prenosivih bolesti.</w:t>
      </w:r>
    </w:p>
    <w:p w14:paraId="7293DFA4">
      <w:r>
        <w:t>Za školsku medicinu, koja je već niz godina služba u okviru javnog zdravstva to dovodi do nužnosti postupnog preusmjeravanja postojećeg obveznog preventivnog programa ka ciljanim probirima, savjetovališnom radu, zdravstvenom odgoju i promicanju zdravlja.</w:t>
      </w:r>
    </w:p>
    <w:p w14:paraId="4B18AEDC"/>
    <w:p w14:paraId="2DF787B9">
      <w:pPr>
        <w:rPr>
          <w:bCs/>
          <w:i/>
          <w:iCs/>
        </w:rPr>
      </w:pPr>
      <w:r>
        <w:rPr>
          <w:bCs/>
          <w:i/>
          <w:iCs/>
        </w:rPr>
        <w:t>Strategije za ostvarivanje ciljeva</w:t>
      </w:r>
    </w:p>
    <w:p w14:paraId="0C1E827A">
      <w:pPr>
        <w:pStyle w:val="52"/>
        <w:numPr>
          <w:ilvl w:val="0"/>
          <w:numId w:val="47"/>
        </w:numPr>
        <w:spacing w:before="0" w:after="0" w:line="240" w:lineRule="auto"/>
        <w:rPr>
          <w:rFonts w:eastAsia="Calibri"/>
          <w:lang w:val="pl-PL"/>
        </w:rPr>
      </w:pPr>
      <w:r>
        <w:rPr>
          <w:lang w:val="pl-PL"/>
        </w:rPr>
        <w:t>osnaživanje savjetovališnih aktivnosti osobito u području mentalnog i reproduktivnog zdravlja te području učenja i prilagodbe</w:t>
      </w:r>
    </w:p>
    <w:p w14:paraId="098033A0">
      <w:pPr>
        <w:pStyle w:val="52"/>
        <w:numPr>
          <w:ilvl w:val="0"/>
          <w:numId w:val="47"/>
        </w:numPr>
        <w:spacing w:before="0" w:after="0" w:line="240" w:lineRule="auto"/>
        <w:rPr>
          <w:rFonts w:eastAsia="Calibri"/>
          <w:lang w:val="pl-PL"/>
        </w:rPr>
      </w:pPr>
      <w:r>
        <w:rPr>
          <w:lang w:val="pl-PL"/>
        </w:rPr>
        <w:t>unaprjeđenje informatičke platforme i omogućavanje preciznijeg praćenja zdravstvenog stanja i rada u djelatnosti</w:t>
      </w:r>
    </w:p>
    <w:p w14:paraId="16494889">
      <w:pPr>
        <w:pStyle w:val="52"/>
        <w:numPr>
          <w:ilvl w:val="0"/>
          <w:numId w:val="47"/>
        </w:numPr>
        <w:spacing w:before="0" w:after="0" w:line="240" w:lineRule="auto"/>
        <w:rPr>
          <w:rFonts w:eastAsia="Calibri"/>
          <w:lang w:val="pl-PL"/>
        </w:rPr>
      </w:pPr>
      <w:r>
        <w:rPr>
          <w:lang w:val="pl-PL"/>
        </w:rPr>
        <w:t>pra</w:t>
      </w:r>
      <w:r>
        <w:t>ć</w:t>
      </w:r>
      <w:r>
        <w:rPr>
          <w:lang w:val="pl-PL"/>
        </w:rPr>
        <w:t>enje</w:t>
      </w:r>
      <w:r>
        <w:t xml:space="preserve"> </w:t>
      </w:r>
      <w:r>
        <w:rPr>
          <w:lang w:val="pl-PL"/>
        </w:rPr>
        <w:t>pokazatelja</w:t>
      </w:r>
      <w:r>
        <w:t xml:space="preserve"> </w:t>
      </w:r>
      <w:r>
        <w:rPr>
          <w:lang w:val="pl-PL"/>
        </w:rPr>
        <w:t>zdravstvenog</w:t>
      </w:r>
      <w:r>
        <w:t xml:space="preserve"> </w:t>
      </w:r>
      <w:r>
        <w:rPr>
          <w:lang w:val="pl-PL"/>
        </w:rPr>
        <w:t>stanja</w:t>
      </w:r>
      <w:r>
        <w:t xml:space="preserve"> </w:t>
      </w:r>
      <w:r>
        <w:rPr>
          <w:lang w:val="pl-PL"/>
        </w:rPr>
        <w:t>i</w:t>
      </w:r>
      <w:r>
        <w:t xml:space="preserve"> </w:t>
      </w:r>
      <w:r>
        <w:rPr>
          <w:lang w:val="pl-PL"/>
        </w:rPr>
        <w:t>potreba</w:t>
      </w:r>
      <w:r>
        <w:t xml:space="preserve"> </w:t>
      </w:r>
      <w:r>
        <w:rPr>
          <w:lang w:val="pl-PL"/>
        </w:rPr>
        <w:t>djece</w:t>
      </w:r>
      <w:r>
        <w:t xml:space="preserve"> </w:t>
      </w:r>
      <w:r>
        <w:rPr>
          <w:lang w:val="pl-PL"/>
        </w:rPr>
        <w:t>i</w:t>
      </w:r>
      <w:r>
        <w:t xml:space="preserve"> </w:t>
      </w:r>
      <w:r>
        <w:rPr>
          <w:lang w:val="pl-PL"/>
        </w:rPr>
        <w:t>mladih</w:t>
      </w:r>
      <w:r>
        <w:t xml:space="preserve"> </w:t>
      </w:r>
      <w:r>
        <w:rPr>
          <w:lang w:val="pl-PL"/>
        </w:rPr>
        <w:t>iz</w:t>
      </w:r>
      <w:r>
        <w:t xml:space="preserve"> </w:t>
      </w:r>
      <w:r>
        <w:rPr>
          <w:lang w:val="pl-PL"/>
        </w:rPr>
        <w:t>slu</w:t>
      </w:r>
      <w:r>
        <w:t>ž</w:t>
      </w:r>
      <w:r>
        <w:rPr>
          <w:lang w:val="pl-PL"/>
        </w:rPr>
        <w:t>bi</w:t>
      </w:r>
      <w:r>
        <w:t xml:space="preserve"> š</w:t>
      </w:r>
      <w:r>
        <w:rPr>
          <w:lang w:val="pl-PL"/>
        </w:rPr>
        <w:t>kolske</w:t>
      </w:r>
      <w:r>
        <w:t xml:space="preserve"> </w:t>
      </w:r>
      <w:r>
        <w:rPr>
          <w:lang w:val="pl-PL"/>
        </w:rPr>
        <w:t>medicine</w:t>
      </w:r>
      <w:r>
        <w:t xml:space="preserve"> </w:t>
      </w:r>
      <w:r>
        <w:rPr>
          <w:lang w:val="pl-PL"/>
        </w:rPr>
        <w:t>i</w:t>
      </w:r>
      <w:r>
        <w:t xml:space="preserve"> </w:t>
      </w:r>
      <w:r>
        <w:rPr>
          <w:lang w:val="pl-PL"/>
        </w:rPr>
        <w:t>drugih</w:t>
      </w:r>
      <w:r>
        <w:t xml:space="preserve"> </w:t>
      </w:r>
      <w:r>
        <w:rPr>
          <w:lang w:val="pl-PL"/>
        </w:rPr>
        <w:t>djelatnosti</w:t>
      </w:r>
      <w:r>
        <w:t xml:space="preserve"> </w:t>
      </w:r>
      <w:r>
        <w:rPr>
          <w:lang w:val="pl-PL"/>
        </w:rPr>
        <w:t>zdravstvenog</w:t>
      </w:r>
      <w:r>
        <w:t xml:space="preserve"> </w:t>
      </w:r>
      <w:r>
        <w:rPr>
          <w:lang w:val="pl-PL"/>
        </w:rPr>
        <w:t>sustava, putem</w:t>
      </w:r>
      <w:r>
        <w:t xml:space="preserve"> </w:t>
      </w:r>
      <w:r>
        <w:rPr>
          <w:lang w:val="pl-PL"/>
        </w:rPr>
        <w:t>rutinskih</w:t>
      </w:r>
      <w:r>
        <w:t xml:space="preserve"> </w:t>
      </w:r>
      <w:r>
        <w:rPr>
          <w:lang w:val="pl-PL"/>
        </w:rPr>
        <w:t>istra</w:t>
      </w:r>
      <w:r>
        <w:t>ž</w:t>
      </w:r>
      <w:r>
        <w:rPr>
          <w:lang w:val="pl-PL"/>
        </w:rPr>
        <w:t>ivanja</w:t>
      </w:r>
      <w:r>
        <w:t xml:space="preserve">, </w:t>
      </w:r>
      <w:r>
        <w:rPr>
          <w:lang w:val="pl-PL"/>
        </w:rPr>
        <w:t>koriste</w:t>
      </w:r>
      <w:r>
        <w:t>ć</w:t>
      </w:r>
      <w:r>
        <w:rPr>
          <w:lang w:val="pl-PL"/>
        </w:rPr>
        <w:t>i</w:t>
      </w:r>
      <w:r>
        <w:t xml:space="preserve"> </w:t>
      </w:r>
      <w:r>
        <w:rPr>
          <w:lang w:val="pl-PL"/>
        </w:rPr>
        <w:t>metode</w:t>
      </w:r>
      <w:r>
        <w:t xml:space="preserve"> </w:t>
      </w:r>
      <w:r>
        <w:rPr>
          <w:lang w:val="pl-PL"/>
        </w:rPr>
        <w:t>registracije</w:t>
      </w:r>
      <w:r>
        <w:t xml:space="preserve"> </w:t>
      </w:r>
      <w:r>
        <w:rPr>
          <w:lang w:val="pl-PL"/>
        </w:rPr>
        <w:t>u</w:t>
      </w:r>
      <w:r>
        <w:t xml:space="preserve"> </w:t>
      </w:r>
      <w:r>
        <w:rPr>
          <w:lang w:val="pl-PL"/>
        </w:rPr>
        <w:t>samoj</w:t>
      </w:r>
      <w:r>
        <w:t xml:space="preserve"> </w:t>
      </w:r>
      <w:r>
        <w:rPr>
          <w:lang w:val="pl-PL"/>
        </w:rPr>
        <w:t>slu</w:t>
      </w:r>
      <w:r>
        <w:t>ž</w:t>
      </w:r>
      <w:r>
        <w:rPr>
          <w:lang w:val="pl-PL"/>
        </w:rPr>
        <w:t>bi</w:t>
      </w:r>
      <w:r>
        <w:t xml:space="preserve"> </w:t>
      </w:r>
      <w:r>
        <w:rPr>
          <w:lang w:val="pl-PL"/>
        </w:rPr>
        <w:t>te</w:t>
      </w:r>
      <w:r>
        <w:t xml:space="preserve"> </w:t>
      </w:r>
      <w:r>
        <w:rPr>
          <w:lang w:val="pl-PL"/>
        </w:rPr>
        <w:t>druge</w:t>
      </w:r>
      <w:r>
        <w:t xml:space="preserve"> </w:t>
      </w:r>
      <w:r>
        <w:rPr>
          <w:lang w:val="pl-PL"/>
        </w:rPr>
        <w:t>raspolo</w:t>
      </w:r>
      <w:r>
        <w:t>ž</w:t>
      </w:r>
      <w:r>
        <w:rPr>
          <w:lang w:val="pl-PL"/>
        </w:rPr>
        <w:t>ive</w:t>
      </w:r>
      <w:r>
        <w:t xml:space="preserve"> </w:t>
      </w:r>
      <w:r>
        <w:rPr>
          <w:lang w:val="pl-PL"/>
        </w:rPr>
        <w:t>izvore</w:t>
      </w:r>
    </w:p>
    <w:p w14:paraId="14706738">
      <w:pPr>
        <w:pStyle w:val="52"/>
        <w:numPr>
          <w:ilvl w:val="0"/>
          <w:numId w:val="47"/>
        </w:numPr>
        <w:spacing w:before="0" w:after="0" w:line="240" w:lineRule="auto"/>
        <w:rPr>
          <w:rFonts w:eastAsia="Calibri"/>
        </w:rPr>
      </w:pPr>
      <w:r>
        <w:rPr>
          <w:lang w:val="pl-PL"/>
        </w:rPr>
        <w:t>praćenje specifičnih potreba i ponašanja djece i mladih provođenjem</w:t>
      </w:r>
      <w:r>
        <w:t xml:space="preserve"> </w:t>
      </w:r>
      <w:r>
        <w:rPr>
          <w:lang w:val="pl-PL"/>
        </w:rPr>
        <w:t>ciljanih</w:t>
      </w:r>
      <w:r>
        <w:t xml:space="preserve"> </w:t>
      </w:r>
      <w:r>
        <w:rPr>
          <w:lang w:val="pl-PL"/>
        </w:rPr>
        <w:t>istra</w:t>
      </w:r>
      <w:r>
        <w:t>ž</w:t>
      </w:r>
      <w:r>
        <w:rPr>
          <w:lang w:val="pl-PL"/>
        </w:rPr>
        <w:t>ivanja</w:t>
      </w:r>
      <w:r>
        <w:t xml:space="preserve"> </w:t>
      </w:r>
      <w:r>
        <w:rPr>
          <w:lang w:val="pl-PL"/>
        </w:rPr>
        <w:t>na</w:t>
      </w:r>
      <w:r>
        <w:t xml:space="preserve"> </w:t>
      </w:r>
      <w:r>
        <w:rPr>
          <w:lang w:val="pl-PL"/>
        </w:rPr>
        <w:t>reprezentativnim</w:t>
      </w:r>
      <w:r>
        <w:t xml:space="preserve"> </w:t>
      </w:r>
      <w:r>
        <w:rPr>
          <w:lang w:val="pl-PL"/>
        </w:rPr>
        <w:t>ili</w:t>
      </w:r>
      <w:r>
        <w:t xml:space="preserve"> </w:t>
      </w:r>
      <w:r>
        <w:rPr>
          <w:lang w:val="pl-PL"/>
        </w:rPr>
        <w:t>odabranim</w:t>
      </w:r>
      <w:r>
        <w:t xml:space="preserve"> </w:t>
      </w:r>
      <w:r>
        <w:rPr>
          <w:lang w:val="pl-PL"/>
        </w:rPr>
        <w:t>uzorcima</w:t>
      </w:r>
    </w:p>
    <w:p w14:paraId="373492B5">
      <w:pPr>
        <w:pStyle w:val="52"/>
        <w:numPr>
          <w:ilvl w:val="0"/>
          <w:numId w:val="47"/>
        </w:numPr>
        <w:spacing w:before="0" w:after="0" w:line="240" w:lineRule="auto"/>
        <w:rPr>
          <w:rFonts w:eastAsia="Calibri"/>
          <w:lang w:val="pl-PL"/>
        </w:rPr>
      </w:pPr>
      <w:r>
        <w:rPr>
          <w:lang w:val="pl-PL"/>
        </w:rPr>
        <w:t>unaprjeđenje formalnih i neformalnih edukacijskih aktivnosti s ciljem osnaživanja međunarodno preporučenih kompetencija za rad u djelatnosti</w:t>
      </w:r>
    </w:p>
    <w:p w14:paraId="76ECE88A">
      <w:pPr>
        <w:pStyle w:val="52"/>
        <w:numPr>
          <w:ilvl w:val="0"/>
          <w:numId w:val="47"/>
        </w:numPr>
        <w:spacing w:before="0" w:after="0" w:line="240" w:lineRule="auto"/>
        <w:rPr>
          <w:rFonts w:eastAsia="Calibri"/>
          <w:lang w:val="pl-PL"/>
        </w:rPr>
      </w:pPr>
      <w:r>
        <w:rPr>
          <w:lang w:val="pl-PL"/>
        </w:rPr>
        <w:t>omogućavanje kvalitetnije zdravstvene zaštite učenika u učeničkim domovima</w:t>
      </w:r>
    </w:p>
    <w:p w14:paraId="79A1FE93">
      <w:pPr>
        <w:pStyle w:val="52"/>
        <w:numPr>
          <w:ilvl w:val="0"/>
          <w:numId w:val="47"/>
        </w:numPr>
        <w:spacing w:before="0" w:after="0" w:line="240" w:lineRule="auto"/>
        <w:rPr>
          <w:rFonts w:eastAsia="Calibri"/>
          <w:spacing w:val="-4"/>
          <w:lang w:val="pl-PL"/>
        </w:rPr>
      </w:pPr>
      <w:r>
        <w:rPr>
          <w:spacing w:val="-4"/>
          <w:lang w:val="pl-PL"/>
        </w:rPr>
        <w:t>poticanje osnivanja ambulanti za cjelovitu zdravstvenu skrb u studentskim kampusima</w:t>
      </w:r>
    </w:p>
    <w:p w14:paraId="56B044C3">
      <w:pPr>
        <w:pStyle w:val="52"/>
        <w:numPr>
          <w:ilvl w:val="0"/>
          <w:numId w:val="47"/>
        </w:numPr>
        <w:spacing w:before="0" w:after="0" w:line="240" w:lineRule="auto"/>
        <w:rPr>
          <w:rFonts w:eastAsia="Calibri"/>
          <w:lang w:val="pl-PL"/>
        </w:rPr>
      </w:pPr>
      <w:r>
        <w:rPr>
          <w:lang w:val="pl-PL"/>
        </w:rPr>
        <w:t>osmišljavanje i sudjelovanje u programima promicanja zdravlja</w:t>
      </w:r>
    </w:p>
    <w:p w14:paraId="434AD451">
      <w:pPr>
        <w:pStyle w:val="52"/>
        <w:numPr>
          <w:ilvl w:val="0"/>
          <w:numId w:val="47"/>
        </w:numPr>
        <w:spacing w:before="0" w:after="0" w:line="240" w:lineRule="auto"/>
        <w:rPr>
          <w:rFonts w:eastAsia="Calibri"/>
        </w:rPr>
      </w:pPr>
      <w:r>
        <w:rPr>
          <w:lang w:val="pl-PL"/>
        </w:rPr>
        <w:t>kontinuirano</w:t>
      </w:r>
      <w:r>
        <w:t xml:space="preserve"> </w:t>
      </w:r>
      <w:r>
        <w:rPr>
          <w:lang w:val="pl-PL"/>
        </w:rPr>
        <w:t>kreiranje i</w:t>
      </w:r>
      <w:r>
        <w:t xml:space="preserve"> </w:t>
      </w:r>
      <w:r>
        <w:rPr>
          <w:lang w:val="pl-PL"/>
        </w:rPr>
        <w:t>sudjelovanje</w:t>
      </w:r>
      <w:r>
        <w:t xml:space="preserve"> </w:t>
      </w:r>
      <w:r>
        <w:rPr>
          <w:lang w:val="pl-PL"/>
        </w:rPr>
        <w:t>u</w:t>
      </w:r>
      <w:r>
        <w:t xml:space="preserve"> </w:t>
      </w:r>
      <w:r>
        <w:rPr>
          <w:lang w:val="pl-PL"/>
        </w:rPr>
        <w:t>provo</w:t>
      </w:r>
      <w:r>
        <w:t>đ</w:t>
      </w:r>
      <w:r>
        <w:rPr>
          <w:lang w:val="pl-PL"/>
        </w:rPr>
        <w:t>enju</w:t>
      </w:r>
      <w:r>
        <w:t xml:space="preserve"> </w:t>
      </w:r>
      <w:r>
        <w:rPr>
          <w:lang w:val="pl-PL"/>
        </w:rPr>
        <w:t>projekata</w:t>
      </w:r>
      <w:r>
        <w:t xml:space="preserve"> </w:t>
      </w:r>
      <w:r>
        <w:rPr>
          <w:lang w:val="pl-PL"/>
        </w:rPr>
        <w:t>usmjerenih</w:t>
      </w:r>
      <w:r>
        <w:t xml:space="preserve"> </w:t>
      </w:r>
      <w:r>
        <w:rPr>
          <w:lang w:val="pl-PL"/>
        </w:rPr>
        <w:t>pove</w:t>
      </w:r>
      <w:r>
        <w:t>ć</w:t>
      </w:r>
      <w:r>
        <w:rPr>
          <w:lang w:val="pl-PL"/>
        </w:rPr>
        <w:t>anju</w:t>
      </w:r>
      <w:r>
        <w:t xml:space="preserve"> </w:t>
      </w:r>
      <w:r>
        <w:rPr>
          <w:lang w:val="pl-PL"/>
        </w:rPr>
        <w:t>odgovornosti</w:t>
      </w:r>
      <w:r>
        <w:t xml:space="preserve"> zajednice </w:t>
      </w:r>
      <w:r>
        <w:rPr>
          <w:lang w:val="pl-PL"/>
        </w:rPr>
        <w:t>smanjenjem</w:t>
      </w:r>
      <w:r>
        <w:t xml:space="preserve"> š</w:t>
      </w:r>
      <w:r>
        <w:rPr>
          <w:lang w:val="pl-PL"/>
        </w:rPr>
        <w:t>tetnih</w:t>
      </w:r>
      <w:r>
        <w:t xml:space="preserve"> </w:t>
      </w:r>
      <w:r>
        <w:rPr>
          <w:lang w:val="pl-PL"/>
        </w:rPr>
        <w:t>u</w:t>
      </w:r>
      <w:r>
        <w:t>č</w:t>
      </w:r>
      <w:r>
        <w:rPr>
          <w:lang w:val="pl-PL"/>
        </w:rPr>
        <w:t>inaka</w:t>
      </w:r>
      <w:r>
        <w:t xml:space="preserve"> </w:t>
      </w:r>
      <w:r>
        <w:rPr>
          <w:lang w:val="pl-PL"/>
        </w:rPr>
        <w:t>na</w:t>
      </w:r>
      <w:r>
        <w:t xml:space="preserve"> </w:t>
      </w:r>
      <w:r>
        <w:rPr>
          <w:lang w:val="pl-PL"/>
        </w:rPr>
        <w:t>zdravlje</w:t>
      </w:r>
    </w:p>
    <w:p w14:paraId="28BFFB59">
      <w:pPr>
        <w:pStyle w:val="52"/>
        <w:numPr>
          <w:ilvl w:val="0"/>
          <w:numId w:val="47"/>
        </w:numPr>
        <w:spacing w:before="0" w:after="0" w:line="240" w:lineRule="auto"/>
        <w:rPr>
          <w:rFonts w:eastAsia="Calibri"/>
        </w:rPr>
      </w:pPr>
      <w:r>
        <w:t>organiziranje i provođenje edukacije profesionalaca i laika usmjerenu usvajanju zdravijih načina življenja i načelima promicanja zdravlja</w:t>
      </w:r>
    </w:p>
    <w:p w14:paraId="681A4997">
      <w:pPr>
        <w:pStyle w:val="52"/>
        <w:numPr>
          <w:ilvl w:val="0"/>
          <w:numId w:val="47"/>
        </w:numPr>
        <w:spacing w:before="0" w:after="0" w:line="240" w:lineRule="auto"/>
        <w:rPr>
          <w:rFonts w:eastAsia="Calibri"/>
        </w:rPr>
      </w:pPr>
      <w:r>
        <w:t>kreiranje i provođenje stručnih protokola namijenjenih osiguranju sigurnog školskog okruženja djece s kroničnim poremećajima zdravlja</w:t>
      </w:r>
    </w:p>
    <w:p w14:paraId="538611E7">
      <w:pPr>
        <w:pStyle w:val="52"/>
        <w:numPr>
          <w:ilvl w:val="0"/>
          <w:numId w:val="47"/>
        </w:numPr>
        <w:spacing w:before="0" w:after="0" w:line="240" w:lineRule="auto"/>
        <w:rPr>
          <w:rFonts w:eastAsia="Calibri"/>
        </w:rPr>
      </w:pPr>
      <w:r>
        <w:t>u</w:t>
      </w:r>
      <w:r>
        <w:rPr>
          <w:rFonts w:eastAsia="Calibri"/>
        </w:rPr>
        <w:t>naprijeđene mogućnosti praćenja funkcioniranja zdravstvenog sustava IT unaprjeđenjem i implementacijom</w:t>
      </w:r>
    </w:p>
    <w:p w14:paraId="5969A1E9">
      <w:pPr>
        <w:pStyle w:val="52"/>
        <w:numPr>
          <w:ilvl w:val="0"/>
          <w:numId w:val="47"/>
        </w:numPr>
        <w:spacing w:before="0" w:after="0" w:line="240" w:lineRule="auto"/>
        <w:rPr>
          <w:rFonts w:eastAsia="Calibri"/>
        </w:rPr>
      </w:pPr>
      <w:r>
        <w:t>k</w:t>
      </w:r>
      <w:r>
        <w:rPr>
          <w:rFonts w:eastAsia="Calibri"/>
        </w:rPr>
        <w:t>reiranje i provođenje istraživanja o zdravstvenim nejednakostima, odrednicama zdravlja i zdravstvenim ishodima</w:t>
      </w:r>
    </w:p>
    <w:p w14:paraId="44753D10">
      <w:pPr>
        <w:pStyle w:val="52"/>
        <w:numPr>
          <w:ilvl w:val="0"/>
          <w:numId w:val="47"/>
        </w:numPr>
        <w:spacing w:before="0" w:after="0" w:line="240" w:lineRule="auto"/>
        <w:rPr>
          <w:rFonts w:eastAsia="Calibri"/>
        </w:rPr>
      </w:pPr>
      <w:r>
        <w:t>u</w:t>
      </w:r>
      <w:r>
        <w:rPr>
          <w:rFonts w:eastAsia="Calibri"/>
        </w:rPr>
        <w:t xml:space="preserve">ključenje u moguće platforme zajedničkog djelovanja na međunarodnoj razini (Europska mreža </w:t>
      </w:r>
      <w:r>
        <w:rPr>
          <w:rFonts w:eastAsia="Calibri"/>
          <w:i/>
          <w:iCs/>
        </w:rPr>
        <w:t>Regija za zdravlje</w:t>
      </w:r>
      <w:r>
        <w:rPr>
          <w:rFonts w:eastAsia="Calibri"/>
        </w:rPr>
        <w:t xml:space="preserve">, COST projekt </w:t>
      </w:r>
      <w:r>
        <w:rPr>
          <w:rFonts w:eastAsia="Calibri"/>
          <w:i/>
          <w:iCs/>
        </w:rPr>
        <w:t>Appearance matters</w:t>
      </w:r>
      <w:r>
        <w:rPr>
          <w:rFonts w:eastAsia="Calibri"/>
        </w:rPr>
        <w:t>)</w:t>
      </w:r>
    </w:p>
    <w:p w14:paraId="60B46B59">
      <w:pPr>
        <w:pStyle w:val="52"/>
        <w:numPr>
          <w:ilvl w:val="0"/>
          <w:numId w:val="47"/>
        </w:numPr>
        <w:spacing w:before="0" w:after="0" w:line="240" w:lineRule="auto"/>
        <w:rPr>
          <w:rFonts w:eastAsia="Calibri"/>
        </w:rPr>
      </w:pPr>
      <w:r>
        <w:t>s</w:t>
      </w:r>
      <w:r>
        <w:rPr>
          <w:rFonts w:eastAsia="Calibri"/>
        </w:rPr>
        <w:t>udjelovanje u predlaganju svih strateških i implementacijskih dokumenata usmjerenih zdravlju djece i mladih, čiji je nositelj zdravstveni sustav, a suradnici i sudionici svi društveni segmenti</w:t>
      </w:r>
    </w:p>
    <w:p w14:paraId="04871BB0">
      <w:pPr>
        <w:pStyle w:val="52"/>
        <w:numPr>
          <w:ilvl w:val="0"/>
          <w:numId w:val="47"/>
        </w:numPr>
        <w:spacing w:before="0" w:after="0" w:line="240" w:lineRule="auto"/>
        <w:rPr>
          <w:rFonts w:eastAsia="Calibri"/>
        </w:rPr>
      </w:pPr>
      <w:r>
        <w:t>s</w:t>
      </w:r>
      <w:r>
        <w:rPr>
          <w:rFonts w:eastAsia="Calibri"/>
        </w:rPr>
        <w:t>udjelovanje u kreiranju svih dokumenata čiji su nositelji drugi sektori, a zdravstveni sustav kao sudionik u provođenju pojedinih aktivnost</w:t>
      </w:r>
    </w:p>
    <w:p w14:paraId="4E3DE70F">
      <w:pPr>
        <w:pStyle w:val="52"/>
        <w:numPr>
          <w:ilvl w:val="0"/>
          <w:numId w:val="47"/>
        </w:numPr>
        <w:spacing w:before="0" w:after="0" w:line="240" w:lineRule="auto"/>
        <w:rPr>
          <w:rFonts w:eastAsia="Calibri"/>
        </w:rPr>
      </w:pPr>
      <w:r>
        <w:t>s</w:t>
      </w:r>
      <w:r>
        <w:rPr>
          <w:rFonts w:eastAsia="Calibri"/>
        </w:rPr>
        <w:t>udjelovanje u kreiranju stručnih, strateških i provedbenih dokumenata za područje Grada Zagreba u zaštiti zdravlja djece i mladih.</w:t>
      </w:r>
    </w:p>
    <w:p w14:paraId="37D6062A"/>
    <w:p w14:paraId="28B73953">
      <w:r>
        <w:t>Navedeni ciljevi i strategije usklađeni su sa sljedećim dokumentima:</w:t>
      </w:r>
    </w:p>
    <w:p w14:paraId="181EE43F">
      <w:pPr>
        <w:pStyle w:val="52"/>
        <w:numPr>
          <w:ilvl w:val="0"/>
          <w:numId w:val="48"/>
        </w:numPr>
        <w:spacing w:before="0" w:after="0" w:line="240" w:lineRule="auto"/>
        <w:rPr>
          <w:rFonts w:eastAsia="Calibri"/>
        </w:rPr>
      </w:pPr>
      <w:r>
        <w:rPr>
          <w:rFonts w:eastAsia="Calibri"/>
        </w:rPr>
        <w:t>Nacionalna strategija razvoja zdravstva 2021. – 2027.</w:t>
      </w:r>
    </w:p>
    <w:p w14:paraId="7426F61D">
      <w:pPr>
        <w:pStyle w:val="52"/>
        <w:numPr>
          <w:ilvl w:val="0"/>
          <w:numId w:val="48"/>
        </w:numPr>
        <w:spacing w:before="0" w:after="0" w:line="240" w:lineRule="auto"/>
        <w:rPr>
          <w:rFonts w:eastAsia="Calibri"/>
        </w:rPr>
      </w:pPr>
      <w:r>
        <w:rPr>
          <w:rFonts w:eastAsia="Calibri"/>
        </w:rPr>
        <w:t>Strateški okvir razvoja mentalnog zdravlja do 2030.</w:t>
      </w:r>
    </w:p>
    <w:p w14:paraId="15BC9D57">
      <w:pPr>
        <w:pStyle w:val="52"/>
        <w:numPr>
          <w:ilvl w:val="0"/>
          <w:numId w:val="48"/>
        </w:numPr>
        <w:spacing w:before="0" w:after="0" w:line="240" w:lineRule="auto"/>
        <w:rPr>
          <w:rFonts w:eastAsia="Calibri"/>
        </w:rPr>
      </w:pPr>
      <w:r>
        <w:rPr>
          <w:rFonts w:eastAsia="Calibri"/>
        </w:rPr>
        <w:t>Nacionalni plan za prava djece u Republici Hrvatskoj 2022. – 2026.</w:t>
      </w:r>
    </w:p>
    <w:p w14:paraId="7FECCE2B">
      <w:pPr>
        <w:rPr>
          <w:u w:val="single"/>
        </w:rPr>
      </w:pPr>
    </w:p>
    <w:p w14:paraId="4127FFFF">
      <w:pPr>
        <w:pStyle w:val="147"/>
      </w:pPr>
      <w:r>
        <w:t>ISHODIŠTE I POKAZATELJI NA KOJIMA SE ZASNIVAJU IZRAČUNI I OCJENE POTREBNIH SREDSTAVA ZA PROVOĐENJE PROGRAMA</w:t>
      </w:r>
    </w:p>
    <w:p w14:paraId="3694AE02">
      <w:r>
        <w:t>Svaka od aktivnosti navedena u ciljevima prati se na mjesečnoj, kvartalnoj i godišnjoj razini u smislu broja izvršenih aktivnosti i obuhvata ciljne populacije.</w:t>
      </w:r>
    </w:p>
    <w:p w14:paraId="00E44A70">
      <w:pPr>
        <w:rPr>
          <w:spacing w:val="-4"/>
        </w:rPr>
      </w:pPr>
      <w:r>
        <w:rPr>
          <w:spacing w:val="-4"/>
        </w:rPr>
        <w:t>Izvještaji se mjesečno (i kumulativno polugodišnji i godišnji) dostavljaju u HZZO-u i HZJZ-u.</w:t>
      </w:r>
    </w:p>
    <w:p w14:paraId="510857A5">
      <w:pPr>
        <w:rPr>
          <w:spacing w:val="-6"/>
        </w:rPr>
      </w:pPr>
      <w:r>
        <w:rPr>
          <w:spacing w:val="-6"/>
        </w:rPr>
        <w:t>Tromjesečni, šestomjesečni, devetomjesečni i godišnji izvještaji se dostavljaju Upravi Zavoda.</w:t>
      </w:r>
    </w:p>
    <w:p w14:paraId="48172E2F">
      <w:r>
        <w:t>Godišnji se izvještaji uz detaljniju analizu i komentare objavljuju u Zdravstveno-statističkom ljetopisu Grada Zagreba.</w:t>
      </w:r>
    </w:p>
    <w:p w14:paraId="3C538CD4">
      <w:bookmarkStart w:id="31" w:name="_Hlk121844539"/>
      <w:r>
        <w:t xml:space="preserve">Izvršenje programa registrira se i prati aplikacijom tvrtke </w:t>
      </w:r>
      <w:r>
        <w:rPr>
          <w:i/>
          <w:iCs/>
        </w:rPr>
        <w:t>Cuspis</w:t>
      </w:r>
      <w:r>
        <w:t xml:space="preserve"> koja pristupa CEZIH-u.</w:t>
      </w:r>
    </w:p>
    <w:bookmarkEnd w:id="31"/>
    <w:p w14:paraId="6C4E6CFE">
      <w:r>
        <w:t>Posredne, kvalitativne ishode u ciljnoj populaciji prati se posebnim istraživanjima (anketama, znanstvenim radovima) periodično i/ili povremeno.</w:t>
      </w:r>
    </w:p>
    <w:p w14:paraId="17B82D29">
      <w:pPr>
        <w:rPr>
          <w:spacing w:val="-6"/>
        </w:rPr>
      </w:pPr>
      <w:r>
        <w:rPr>
          <w:spacing w:val="-6"/>
        </w:rPr>
        <w:t>Financijska sredstva ostvaruju se temeljem ugovaranja za timove školske medicine u skladu s Mrežom javne zdravstvene službe i financijskim osnovama odluke o ugovaranju s HZZO-om.</w:t>
      </w:r>
    </w:p>
    <w:p w14:paraId="0FA92C21">
      <w:r>
        <w:t>Sredstva za rad Savjetovališta za školsku djecu i mlade ostvaruje se putem posebnog ugovora s Gradskim uredom za socijalnu skrb, zdravstvo i osobe s invaliditetom.</w:t>
      </w:r>
    </w:p>
    <w:p w14:paraId="680EA43C"/>
    <w:p w14:paraId="683D3F28">
      <w:pPr>
        <w:pStyle w:val="147"/>
      </w:pPr>
      <w:r>
        <w:t>IZVJEŠTAJ O POSTIGNUTIM CILJEVIMA I REZULTATIMA PROGRAMA TEMELJENIMA NA POKAZATELJIMA USPJEŠNOSTI U PRETHODNOJ GODINI</w:t>
      </w:r>
    </w:p>
    <w:p w14:paraId="10ACC796">
      <w:r>
        <w:t>Kako se populacija školske djece i mladih u Gradu Zagrebu, za razliku od mnogih gradova i općina u Republici Hrvatskoj, ne smanjuje, opseg poslova je uglavnom stabilan.</w:t>
      </w:r>
    </w:p>
    <w:p w14:paraId="343ADE29"/>
    <w:p w14:paraId="4F71881A">
      <w:pPr>
        <w:rPr>
          <w:i/>
        </w:rPr>
      </w:pPr>
      <w:r>
        <w:rPr>
          <w:i/>
        </w:rPr>
        <w:t>Sistematski i namjenski pregledi</w:t>
      </w:r>
    </w:p>
    <w:p w14:paraId="517F39A4">
      <w:r>
        <w:t>Ukupno je u razdoblju siječanj-studeni 2024. godine obavljeno 28.559 sistematskih pregleda, od toga najviše pregleda prije upisa u prvi razred osnovne škole (8.883). U petim razredima osnovne škole obavljeno je 4.573, a u osmim razredima 7.003 pregleda. Kontrolnih i namjenskih pregleda bilo je 12.471.</w:t>
      </w:r>
    </w:p>
    <w:p w14:paraId="58D6C086"/>
    <w:p w14:paraId="18D32D82">
      <w:pPr>
        <w:rPr>
          <w:i/>
          <w:iCs/>
        </w:rPr>
      </w:pPr>
      <w:r>
        <w:rPr>
          <w:i/>
          <w:iCs/>
        </w:rPr>
        <w:t>Probirni pregledi</w:t>
      </w:r>
    </w:p>
    <w:p w14:paraId="7885A166">
      <w:r>
        <w:t xml:space="preserve">U razdoblju do kraja studenog 2024. godine obavljeno je 45.940 </w:t>
      </w:r>
      <w:r>
        <w:rPr>
          <w:i/>
          <w:iCs/>
        </w:rPr>
        <w:t>screening</w:t>
      </w:r>
      <w:r>
        <w:t>-pregleda.</w:t>
      </w:r>
    </w:p>
    <w:p w14:paraId="69938A46"/>
    <w:p w14:paraId="398DC9B4">
      <w:pPr>
        <w:rPr>
          <w:i/>
        </w:rPr>
      </w:pPr>
      <w:r>
        <w:rPr>
          <w:i/>
        </w:rPr>
        <w:t>Cijepljenje</w:t>
      </w:r>
    </w:p>
    <w:p w14:paraId="0F7FDDC7">
      <w:r>
        <w:t>Prema godišnjem Programu obavljeno je 32.623 cijepljenja. Uglavnom su to cijepljenja učenika u osnovnoj školi, a u srednjoj školi i na fakultetima provedeno je nadoknadno cijepljenje protiv infekcija HPV-a temeljem odluke Ministarstva zdravstva i HZZO-a.</w:t>
      </w:r>
    </w:p>
    <w:p w14:paraId="351D70BC"/>
    <w:p w14:paraId="376BD789">
      <w:pPr>
        <w:rPr>
          <w:i/>
        </w:rPr>
      </w:pPr>
      <w:r>
        <w:rPr>
          <w:i/>
        </w:rPr>
        <w:t>Zdravstveni odgoj</w:t>
      </w:r>
    </w:p>
    <w:p w14:paraId="3F387E1C">
      <w:r>
        <w:t>Prema važećem kurikulumu zdravstvenog odgoja, liječnici i sestre obavljaju aktivnosti u prvom, trećem, petom i osmom razredu osnovne te prvom i dugom razredu srednje škole. Teme definirane kurikulumom se pokazuju nedostatne za potrebe djece i škola te se u dogovoru sa školama organiziraju i dodatni satovi sa temama o zdravlju i zdravim životnim navikama. Do kraja studenog 2024.godine zdravstvenim odgojem je obuhvaćeno 27.637 učenika osnovnih i srednjih škola.</w:t>
      </w:r>
    </w:p>
    <w:p w14:paraId="0475974D"/>
    <w:p w14:paraId="754ABBC1">
      <w:pPr>
        <w:rPr>
          <w:i/>
        </w:rPr>
      </w:pPr>
      <w:r>
        <w:rPr>
          <w:i/>
        </w:rPr>
        <w:t>Savjetovališni rad</w:t>
      </w:r>
    </w:p>
    <w:p w14:paraId="4F11D52C">
      <w:r>
        <w:t>Savjetovališni rad je neizostavan i važan dio ukupnih aktivnosti u školskoj medicini, u savjetovalište se obraćaju i učenici i roditelji, ali i nastavnici i drugi sudionici procesa odrastanja. U osnovnim je školama u savjetovališta pristupilo 3.888 osoba. Najviše je savjeta bilo u svezi teškoća učenja(21%), unaprijeđenja zdravlja (19%) te teškoća mentalnog zdravlja (15,7%). U srednjim školama je bilo 1.071 savjetovanja, od toga najviše zbog teškoća mentalnog zdravlja (29%) te unaprijeđenja zdravlja (19%).</w:t>
      </w:r>
    </w:p>
    <w:p w14:paraId="7A2BCEC6">
      <w:r>
        <w:t>Za savjet se obratilo i 702 studenta, najviše zbog savjeta u vezi s mentalnim (31%) te reproduktivnim (23%) zdravljem.</w:t>
      </w:r>
    </w:p>
    <w:p w14:paraId="7DA8814E">
      <w:r>
        <w:t>Ukupno je obavljeno 32.119 savjeta i konzultacija (učenici,roditelji,djelatnici škola).</w:t>
      </w:r>
    </w:p>
    <w:p w14:paraId="0B32D772"/>
    <w:p w14:paraId="44758572">
      <w:pPr>
        <w:rPr>
          <w:i/>
        </w:rPr>
      </w:pPr>
      <w:r>
        <w:rPr>
          <w:i/>
        </w:rPr>
        <w:t>Skrb o djeci s poteškoćama u razvoju</w:t>
      </w:r>
    </w:p>
    <w:p w14:paraId="6B8D46D8">
      <w:r>
        <w:t>Uključivanje djece s poteškoćama u razvoju je opsežan i zahtjevan proces koji timski obavljaju zdravstveni i obrazovni stručnjaci i za osnovne i za srednje škole. Za potrebe utvrđivanja najpogodnijeg oblika školovanja obavljeno je 2.524 postupaka timske sinteze prije upisa u prvi razred osnovne škole te 1.381 timske sinteze za promjenu oblika školovanja u osnovnim i 87 za promjenu oblika školovanja u srednjim školama. Također je obavljeno 1.265 ekspertiza za upis u prvi razred osnovne škole te 1.857 za primjereni oblik školovanja u osnovnoj i 166 u srednjoj školi.</w:t>
      </w:r>
    </w:p>
    <w:p w14:paraId="1BC125BD"/>
    <w:p w14:paraId="25E3C3E8">
      <w:pPr>
        <w:rPr>
          <w:i/>
        </w:rPr>
      </w:pPr>
      <w:r>
        <w:rPr>
          <w:i/>
        </w:rPr>
        <w:t>Morbiditet utvrđen na sistematskim pregledima</w:t>
      </w:r>
    </w:p>
    <w:p w14:paraId="2DDF6370">
      <w:r>
        <w:t>U prvom razredu osnovne škole se registrira visok udio djece sa specifičnim poremećajem izgovora (35,9% u dječaka i 18,5% u djevojčica). Velik broj djece ima poteškoća s refrakcijom i akomodacijom već na početku školovanja (djevojčice 18,9%,dječaci 16,6%) dok u osmom razredu se udio povećava (djevojčice 37,2%,dječaci 26,8%).Uočljiv je i zubni karijes, koji se registrira u svim uzrastima (u prvom razredu 13,1% dječaka i 11,3% djevojčica). Među bolestima i nepravilnostima u usnoj šupljini uočljiva je nepravilnost u položaju zubi koja se, očito nesanirana, održava i do kraja osnovne škole (15,9% u dječaka i 19,2% u djevojčica u osmim razredima). Neka od stanja koja se u pravilu nalaze u mlađe djece kao adhezije prepucija ili sužen prepucij se prilikom upisa u prvi razred uočavaju kod 17,6% dječaka, što ukazuje da je uočavanje takvih smetnji nedovoljno u predškolsko doba i da se prilikom posjeta pedijatru treba na razvoj muškog spolovila obratiti više pozornosti.</w:t>
      </w:r>
    </w:p>
    <w:p w14:paraId="6DF69674">
      <w:pPr>
        <w:rPr>
          <w:spacing w:val="-8"/>
        </w:rPr>
      </w:pPr>
      <w:r>
        <w:rPr>
          <w:spacing w:val="-8"/>
        </w:rPr>
        <w:t>Sumnja na skoliozu ili već potvrđena dijagnoza se registrira u osmom razredu u 8,9% djevojčica.</w:t>
      </w:r>
    </w:p>
    <w:p w14:paraId="27F6C705">
      <w:r>
        <w:t>Pretilost bilježimo kod 6,6% djevojčica i 9% dječaka u petim razredima te kod 7,7% dječaka i 7,5% djevojčica u osmim razredima.</w:t>
      </w:r>
    </w:p>
    <w:p w14:paraId="5288E16F"/>
    <w:p w14:paraId="7143FAE6">
      <w:pPr>
        <w:rPr>
          <w:i/>
        </w:rPr>
      </w:pPr>
      <w:r>
        <w:rPr>
          <w:i/>
        </w:rPr>
        <w:t>AKTIVNOSTI IZ PROGRAMA UGOVORENIH S GRADSKIM UREDOM ZA ZDRAVSTVO</w:t>
      </w:r>
    </w:p>
    <w:p w14:paraId="0E9AA277">
      <w:pPr>
        <w:rPr>
          <w:iCs/>
        </w:rPr>
      </w:pPr>
    </w:p>
    <w:p w14:paraId="57FD4915">
      <w:pPr>
        <w:rPr>
          <w:i/>
        </w:rPr>
      </w:pPr>
      <w:r>
        <w:rPr>
          <w:i/>
        </w:rPr>
        <w:t>Savjetovalište za školsku djecu i mlade- prevencija HPV infekcija i drugih spolno-prenosivih bolesti, teškoća prilagodbe u školskom okruženju i poremećaje prehrane</w:t>
      </w:r>
    </w:p>
    <w:p w14:paraId="2AE98A77">
      <w:r>
        <w:t>U Službi od 2004. g. djeluje Savjetovalište za školsku djecu i mlade u kojem se timskim pristupom i suradnjom rješavaju najčešći i najvažniji zdravstveni izazovi školske djece, mladih i studenata.</w:t>
      </w:r>
    </w:p>
    <w:p w14:paraId="5C71B6EB">
      <w:r>
        <w:t>Savjetovanje školskog liječnika, redovni preventivni ginekološki pregledi te nadoknadno cijepljenje protiv HPV-a omogućeno je, uz lokaciju Mirogojska c. 16, i u prostorima Centra za zdravlje mladih, Heinzelova 63, što predstavlja iskorak u približavanju mladima i mogućnosti dobivanja usluga izvan institucija redovnog zdravstvenog sustava.</w:t>
      </w:r>
    </w:p>
    <w:p w14:paraId="11833E59">
      <w:pPr>
        <w:rPr>
          <w:spacing w:val="-10"/>
        </w:rPr>
      </w:pPr>
      <w:r>
        <w:rPr>
          <w:spacing w:val="-10"/>
        </w:rPr>
        <w:t>Savjetovalište je otvoreno, ulazi se bez uputnice, očuvana je povjerljivost te zajamčena pravičnost.</w:t>
      </w:r>
    </w:p>
    <w:p w14:paraId="7FC28545">
      <w:pPr>
        <w:rPr>
          <w:spacing w:val="-10"/>
        </w:rPr>
      </w:pPr>
    </w:p>
    <w:p w14:paraId="72FBA22A">
      <w:r>
        <w:rPr>
          <w:i/>
          <w:iCs/>
        </w:rPr>
        <w:t>Prevencija HPV infekcija i drugih spolno prenosivih bolesti</w:t>
      </w:r>
    </w:p>
    <w:p w14:paraId="3A890A30">
      <w:r>
        <w:t>Od siječnja do kraja listopada 2024.godine obavljeno je 847 ginekoloških pregleda i konzultacija, 353 savjetovanja od strane školskog liječnika te 665 nadoknadnih cijepljenja protiv HPV infekcija.</w:t>
      </w:r>
    </w:p>
    <w:p w14:paraId="49DAE552"/>
    <w:p w14:paraId="3658A0B1">
      <w:pPr>
        <w:rPr>
          <w:i/>
          <w:iCs/>
        </w:rPr>
      </w:pPr>
      <w:r>
        <w:rPr>
          <w:i/>
          <w:iCs/>
        </w:rPr>
        <w:t>Prevencija teškoća adaptacije u školskom okruženju i poremećaja prehrane</w:t>
      </w:r>
    </w:p>
    <w:p w14:paraId="01196432">
      <w:r>
        <w:t>Proces odrastanja i sazrijevanja mlade osobe kroz period puberteta i adolescencije predstavlja vrlo intenzivno i osjetljivo životno razdoblje. Tijekom tog procesa, uz tjelesno i spolno sazrijevanje, intenzivne su promjene na psihološkom planu, a sve se odvija uz zahtjeve školovanja.</w:t>
      </w:r>
    </w:p>
    <w:p w14:paraId="462586FD">
      <w:r>
        <w:t>Uvjeti suvremenog života, razvoj tehnologija, utjecaji medija, nametanje idealiziranih idola, uz sve češću narušenu stabilnost obiteljskih odnosa, uzrokom su sve učestalijih problema iz domene mentalnog zdravlja mladih.</w:t>
      </w:r>
    </w:p>
    <w:p w14:paraId="28B873ED">
      <w:r>
        <w:t>U Savjetovalištu je u razdoblju od siječnja do kraja listopada 2024.provedeno savjetovanje 98 učenika i 27 obitelji zbog teškoća adaptacije ili poremećaja prehrane, jednim ili više dolazaka.</w:t>
      </w:r>
    </w:p>
    <w:p w14:paraId="0697BC24"/>
    <w:p w14:paraId="0C1CE8ED">
      <w:pPr>
        <w:pStyle w:val="147"/>
      </w:pPr>
      <w:r>
        <w:t>PLANIRANJE AKTIVNOSTI U 2025. GODINI</w:t>
      </w:r>
    </w:p>
    <w:p w14:paraId="722B6B62"/>
    <w:p w14:paraId="4C2082A5">
      <w:pPr>
        <w:rPr>
          <w:i/>
          <w:spacing w:val="-10"/>
        </w:rPr>
      </w:pPr>
      <w:r>
        <w:rPr>
          <w:i/>
          <w:spacing w:val="-10"/>
        </w:rPr>
        <w:t>Tablica 2. – Realizirane usluge u razdoblju od 1. 1. do 30. 9. 2024. godine i planirane u 2025. godini</w:t>
      </w:r>
    </w:p>
    <w:tbl>
      <w:tblPr>
        <w:tblStyle w:val="12"/>
        <w:tblW w:w="5000" w:type="pct"/>
        <w:tblInd w:w="0" w:type="dxa"/>
        <w:tblLayout w:type="autofit"/>
        <w:tblCellMar>
          <w:top w:w="0" w:type="dxa"/>
          <w:left w:w="108" w:type="dxa"/>
          <w:bottom w:w="0" w:type="dxa"/>
          <w:right w:w="108" w:type="dxa"/>
        </w:tblCellMar>
      </w:tblPr>
      <w:tblGrid>
        <w:gridCol w:w="2028"/>
        <w:gridCol w:w="4650"/>
        <w:gridCol w:w="1393"/>
        <w:gridCol w:w="1217"/>
      </w:tblGrid>
      <w:tr w14:paraId="2458B403">
        <w:tblPrEx>
          <w:tblCellMar>
            <w:top w:w="0" w:type="dxa"/>
            <w:left w:w="108" w:type="dxa"/>
            <w:bottom w:w="0" w:type="dxa"/>
            <w:right w:w="108" w:type="dxa"/>
          </w:tblCellMar>
        </w:tblPrEx>
        <w:trPr>
          <w:trHeight w:val="707" w:hRule="atLeast"/>
          <w:tblHeader/>
        </w:trPr>
        <w:tc>
          <w:tcPr>
            <w:tcW w:w="1092" w:type="pct"/>
            <w:tcBorders>
              <w:top w:val="single" w:color="auto" w:sz="4" w:space="0"/>
              <w:left w:val="single" w:color="auto" w:sz="4" w:space="0"/>
              <w:bottom w:val="double" w:color="auto" w:sz="4" w:space="0"/>
              <w:right w:val="single" w:color="auto" w:sz="4" w:space="0"/>
            </w:tcBorders>
            <w:vAlign w:val="center"/>
          </w:tcPr>
          <w:p w14:paraId="507C33CF">
            <w:pPr>
              <w:pStyle w:val="150"/>
              <w:jc w:val="left"/>
              <w:rPr>
                <w:i/>
                <w:iCs w:val="0"/>
                <w:sz w:val="18"/>
                <w:szCs w:val="18"/>
              </w:rPr>
            </w:pPr>
            <w:r>
              <w:rPr>
                <w:i/>
                <w:sz w:val="18"/>
                <w:szCs w:val="18"/>
              </w:rPr>
              <w:t>Aktivnost</w:t>
            </w:r>
          </w:p>
        </w:tc>
        <w:tc>
          <w:tcPr>
            <w:tcW w:w="2503" w:type="pct"/>
            <w:tcBorders>
              <w:top w:val="single" w:color="auto" w:sz="4" w:space="0"/>
              <w:left w:val="nil"/>
              <w:bottom w:val="double" w:color="auto" w:sz="4" w:space="0"/>
              <w:right w:val="single" w:color="auto" w:sz="4" w:space="0"/>
            </w:tcBorders>
            <w:vAlign w:val="center"/>
          </w:tcPr>
          <w:p w14:paraId="47DC69C9">
            <w:pPr>
              <w:pStyle w:val="150"/>
              <w:jc w:val="left"/>
              <w:rPr>
                <w:i/>
                <w:iCs w:val="0"/>
                <w:sz w:val="18"/>
                <w:szCs w:val="18"/>
              </w:rPr>
            </w:pPr>
            <w:r>
              <w:rPr>
                <w:i/>
                <w:sz w:val="18"/>
                <w:szCs w:val="18"/>
              </w:rPr>
              <w:t>Usluga</w:t>
            </w:r>
          </w:p>
        </w:tc>
        <w:tc>
          <w:tcPr>
            <w:tcW w:w="750" w:type="pct"/>
            <w:tcBorders>
              <w:top w:val="single" w:color="auto" w:sz="4" w:space="0"/>
              <w:left w:val="nil"/>
              <w:bottom w:val="double" w:color="auto" w:sz="4" w:space="0"/>
              <w:right w:val="single" w:color="auto" w:sz="4" w:space="0"/>
            </w:tcBorders>
            <w:vAlign w:val="center"/>
          </w:tcPr>
          <w:p w14:paraId="6DD318D6">
            <w:pPr>
              <w:pStyle w:val="150"/>
              <w:rPr>
                <w:i/>
                <w:iCs w:val="0"/>
                <w:sz w:val="18"/>
                <w:szCs w:val="18"/>
              </w:rPr>
            </w:pPr>
            <w:r>
              <w:rPr>
                <w:i/>
                <w:sz w:val="18"/>
                <w:szCs w:val="18"/>
              </w:rPr>
              <w:t>Realizirano do 30. 9. 2024.</w:t>
            </w:r>
          </w:p>
        </w:tc>
        <w:tc>
          <w:tcPr>
            <w:tcW w:w="655" w:type="pct"/>
            <w:tcBorders>
              <w:top w:val="single" w:color="auto" w:sz="4" w:space="0"/>
              <w:left w:val="nil"/>
              <w:bottom w:val="double" w:color="auto" w:sz="4" w:space="0"/>
              <w:right w:val="single" w:color="auto" w:sz="4" w:space="0"/>
            </w:tcBorders>
            <w:vAlign w:val="center"/>
          </w:tcPr>
          <w:p w14:paraId="566CBB42">
            <w:pPr>
              <w:pStyle w:val="150"/>
              <w:rPr>
                <w:i/>
                <w:iCs w:val="0"/>
                <w:sz w:val="18"/>
                <w:szCs w:val="18"/>
              </w:rPr>
            </w:pPr>
            <w:r>
              <w:rPr>
                <w:i/>
                <w:sz w:val="18"/>
                <w:szCs w:val="18"/>
              </w:rPr>
              <w:t>Planirano u 2025. g.</w:t>
            </w:r>
          </w:p>
        </w:tc>
      </w:tr>
      <w:tr w14:paraId="3E0AEF67">
        <w:tblPrEx>
          <w:tblCellMar>
            <w:top w:w="0" w:type="dxa"/>
            <w:left w:w="108" w:type="dxa"/>
            <w:bottom w:w="0" w:type="dxa"/>
            <w:right w:w="108" w:type="dxa"/>
          </w:tblCellMar>
        </w:tblPrEx>
        <w:trPr>
          <w:trHeight w:val="369" w:hRule="atLeast"/>
        </w:trPr>
        <w:tc>
          <w:tcPr>
            <w:tcW w:w="1092" w:type="pct"/>
            <w:vMerge w:val="restart"/>
            <w:tcBorders>
              <w:top w:val="double" w:color="auto" w:sz="4" w:space="0"/>
              <w:left w:val="single" w:color="auto" w:sz="4" w:space="0"/>
              <w:bottom w:val="single" w:color="auto" w:sz="4" w:space="0"/>
              <w:right w:val="single" w:color="auto" w:sz="4" w:space="0"/>
            </w:tcBorders>
            <w:vAlign w:val="center"/>
          </w:tcPr>
          <w:p w14:paraId="79FE932E">
            <w:pPr>
              <w:pStyle w:val="150"/>
              <w:jc w:val="left"/>
              <w:rPr>
                <w:sz w:val="18"/>
                <w:szCs w:val="18"/>
              </w:rPr>
            </w:pPr>
            <w:r>
              <w:rPr>
                <w:sz w:val="18"/>
                <w:szCs w:val="18"/>
              </w:rPr>
              <w:t>Sistematski pregledi</w:t>
            </w:r>
          </w:p>
        </w:tc>
        <w:tc>
          <w:tcPr>
            <w:tcW w:w="2503" w:type="pct"/>
            <w:tcBorders>
              <w:top w:val="double" w:color="auto" w:sz="4" w:space="0"/>
              <w:left w:val="nil"/>
              <w:bottom w:val="single" w:color="auto" w:sz="4" w:space="0"/>
              <w:right w:val="single" w:color="auto" w:sz="4" w:space="0"/>
            </w:tcBorders>
            <w:vAlign w:val="center"/>
          </w:tcPr>
          <w:p w14:paraId="36613F7A">
            <w:pPr>
              <w:pStyle w:val="150"/>
              <w:jc w:val="left"/>
              <w:rPr>
                <w:spacing w:val="-6"/>
                <w:sz w:val="18"/>
                <w:szCs w:val="18"/>
              </w:rPr>
            </w:pPr>
            <w:r>
              <w:rPr>
                <w:spacing w:val="-6"/>
                <w:sz w:val="18"/>
                <w:szCs w:val="18"/>
              </w:rPr>
              <w:t>Sistematski pregledi djeteta prije upisa u 1. razred osnovne škole</w:t>
            </w:r>
          </w:p>
        </w:tc>
        <w:tc>
          <w:tcPr>
            <w:tcW w:w="750" w:type="pct"/>
            <w:tcBorders>
              <w:top w:val="double" w:color="auto" w:sz="4" w:space="0"/>
              <w:left w:val="nil"/>
              <w:bottom w:val="single" w:color="auto" w:sz="4" w:space="0"/>
              <w:right w:val="single" w:color="auto" w:sz="4" w:space="0"/>
            </w:tcBorders>
            <w:noWrap/>
            <w:vAlign w:val="center"/>
          </w:tcPr>
          <w:p w14:paraId="4BCCF739">
            <w:pPr>
              <w:pStyle w:val="150"/>
              <w:rPr>
                <w:sz w:val="18"/>
                <w:szCs w:val="18"/>
              </w:rPr>
            </w:pPr>
            <w:r>
              <w:rPr>
                <w:sz w:val="18"/>
              </w:rPr>
              <w:t>8.883</w:t>
            </w:r>
          </w:p>
        </w:tc>
        <w:tc>
          <w:tcPr>
            <w:tcW w:w="655" w:type="pct"/>
            <w:tcBorders>
              <w:top w:val="double" w:color="auto" w:sz="4" w:space="0"/>
              <w:left w:val="nil"/>
              <w:bottom w:val="single" w:color="auto" w:sz="4" w:space="0"/>
              <w:right w:val="single" w:color="auto" w:sz="4" w:space="0"/>
            </w:tcBorders>
            <w:noWrap/>
            <w:vAlign w:val="center"/>
          </w:tcPr>
          <w:p w14:paraId="11351FA0">
            <w:pPr>
              <w:pStyle w:val="150"/>
              <w:rPr>
                <w:sz w:val="18"/>
                <w:szCs w:val="18"/>
              </w:rPr>
            </w:pPr>
            <w:r>
              <w:rPr>
                <w:sz w:val="18"/>
              </w:rPr>
              <w:t>8.500</w:t>
            </w:r>
          </w:p>
        </w:tc>
      </w:tr>
      <w:tr w14:paraId="72759D12">
        <w:tblPrEx>
          <w:tblCellMar>
            <w:top w:w="0" w:type="dxa"/>
            <w:left w:w="108" w:type="dxa"/>
            <w:bottom w:w="0" w:type="dxa"/>
            <w:right w:w="108" w:type="dxa"/>
          </w:tblCellMar>
        </w:tblPrEx>
        <w:trPr>
          <w:trHeight w:val="369" w:hRule="atLeast"/>
        </w:trPr>
        <w:tc>
          <w:tcPr>
            <w:tcW w:w="1092" w:type="pct"/>
            <w:vMerge w:val="continue"/>
            <w:tcBorders>
              <w:top w:val="double" w:color="auto" w:sz="4" w:space="0"/>
              <w:left w:val="single" w:color="auto" w:sz="4" w:space="0"/>
              <w:bottom w:val="single" w:color="auto" w:sz="4" w:space="0"/>
              <w:right w:val="single" w:color="auto" w:sz="4" w:space="0"/>
            </w:tcBorders>
            <w:vAlign w:val="center"/>
          </w:tcPr>
          <w:p w14:paraId="448F17B0">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408C898A">
            <w:pPr>
              <w:pStyle w:val="150"/>
              <w:jc w:val="left"/>
              <w:rPr>
                <w:sz w:val="18"/>
                <w:szCs w:val="18"/>
              </w:rPr>
            </w:pPr>
            <w:r>
              <w:rPr>
                <w:sz w:val="18"/>
                <w:szCs w:val="18"/>
              </w:rPr>
              <w:t>Sistematski pregled u 5. razredu osnovne škole</w:t>
            </w:r>
          </w:p>
        </w:tc>
        <w:tc>
          <w:tcPr>
            <w:tcW w:w="750" w:type="pct"/>
            <w:tcBorders>
              <w:top w:val="single" w:color="auto" w:sz="4" w:space="0"/>
              <w:left w:val="nil"/>
              <w:bottom w:val="single" w:color="auto" w:sz="4" w:space="0"/>
              <w:right w:val="single" w:color="auto" w:sz="4" w:space="0"/>
            </w:tcBorders>
            <w:noWrap/>
            <w:vAlign w:val="center"/>
          </w:tcPr>
          <w:p w14:paraId="6A853B5D">
            <w:pPr>
              <w:pStyle w:val="150"/>
              <w:rPr>
                <w:sz w:val="18"/>
                <w:szCs w:val="18"/>
              </w:rPr>
            </w:pPr>
            <w:r>
              <w:rPr>
                <w:sz w:val="18"/>
              </w:rPr>
              <w:t>4.573</w:t>
            </w:r>
          </w:p>
        </w:tc>
        <w:tc>
          <w:tcPr>
            <w:tcW w:w="655" w:type="pct"/>
            <w:tcBorders>
              <w:top w:val="single" w:color="auto" w:sz="4" w:space="0"/>
              <w:left w:val="nil"/>
              <w:bottom w:val="single" w:color="auto" w:sz="4" w:space="0"/>
              <w:right w:val="single" w:color="auto" w:sz="4" w:space="0"/>
            </w:tcBorders>
            <w:noWrap/>
            <w:vAlign w:val="center"/>
          </w:tcPr>
          <w:p w14:paraId="14433C86">
            <w:pPr>
              <w:pStyle w:val="150"/>
              <w:rPr>
                <w:sz w:val="18"/>
                <w:szCs w:val="18"/>
              </w:rPr>
            </w:pPr>
            <w:r>
              <w:rPr>
                <w:sz w:val="18"/>
                <w:szCs w:val="18"/>
              </w:rPr>
              <w:t>7.500</w:t>
            </w:r>
          </w:p>
        </w:tc>
      </w:tr>
      <w:tr w14:paraId="3308E82E">
        <w:tblPrEx>
          <w:tblCellMar>
            <w:top w:w="0" w:type="dxa"/>
            <w:left w:w="108" w:type="dxa"/>
            <w:bottom w:w="0" w:type="dxa"/>
            <w:right w:w="108" w:type="dxa"/>
          </w:tblCellMar>
        </w:tblPrEx>
        <w:trPr>
          <w:trHeight w:val="369" w:hRule="atLeast"/>
        </w:trPr>
        <w:tc>
          <w:tcPr>
            <w:tcW w:w="1092" w:type="pct"/>
            <w:vMerge w:val="continue"/>
            <w:tcBorders>
              <w:top w:val="double" w:color="auto" w:sz="4" w:space="0"/>
              <w:left w:val="single" w:color="auto" w:sz="4" w:space="0"/>
              <w:bottom w:val="single" w:color="auto" w:sz="4" w:space="0"/>
              <w:right w:val="single" w:color="auto" w:sz="4" w:space="0"/>
            </w:tcBorders>
            <w:vAlign w:val="center"/>
          </w:tcPr>
          <w:p w14:paraId="2517A4D1">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71AA159">
            <w:pPr>
              <w:pStyle w:val="150"/>
              <w:jc w:val="left"/>
              <w:rPr>
                <w:sz w:val="18"/>
                <w:szCs w:val="18"/>
              </w:rPr>
            </w:pPr>
            <w:r>
              <w:rPr>
                <w:sz w:val="18"/>
                <w:szCs w:val="18"/>
              </w:rPr>
              <w:t>Sistematski pregled u 8. razredu osnovne škole</w:t>
            </w:r>
          </w:p>
        </w:tc>
        <w:tc>
          <w:tcPr>
            <w:tcW w:w="750" w:type="pct"/>
            <w:tcBorders>
              <w:top w:val="single" w:color="auto" w:sz="4" w:space="0"/>
              <w:left w:val="nil"/>
              <w:bottom w:val="single" w:color="auto" w:sz="4" w:space="0"/>
              <w:right w:val="single" w:color="auto" w:sz="4" w:space="0"/>
            </w:tcBorders>
            <w:noWrap/>
            <w:vAlign w:val="center"/>
          </w:tcPr>
          <w:p w14:paraId="73AC8861">
            <w:pPr>
              <w:pStyle w:val="150"/>
              <w:rPr>
                <w:sz w:val="18"/>
                <w:szCs w:val="18"/>
              </w:rPr>
            </w:pPr>
            <w:r>
              <w:rPr>
                <w:sz w:val="18"/>
              </w:rPr>
              <w:t>7.003</w:t>
            </w:r>
          </w:p>
        </w:tc>
        <w:tc>
          <w:tcPr>
            <w:tcW w:w="655" w:type="pct"/>
            <w:tcBorders>
              <w:top w:val="single" w:color="auto" w:sz="4" w:space="0"/>
              <w:left w:val="nil"/>
              <w:bottom w:val="single" w:color="auto" w:sz="4" w:space="0"/>
              <w:right w:val="single" w:color="auto" w:sz="4" w:space="0"/>
            </w:tcBorders>
            <w:noWrap/>
            <w:vAlign w:val="center"/>
          </w:tcPr>
          <w:p w14:paraId="3CF8E228">
            <w:pPr>
              <w:pStyle w:val="150"/>
              <w:rPr>
                <w:sz w:val="18"/>
                <w:szCs w:val="18"/>
              </w:rPr>
            </w:pPr>
            <w:r>
              <w:rPr>
                <w:sz w:val="18"/>
                <w:szCs w:val="18"/>
              </w:rPr>
              <w:t>7.500</w:t>
            </w:r>
          </w:p>
        </w:tc>
      </w:tr>
      <w:tr w14:paraId="0226F993">
        <w:tblPrEx>
          <w:tblCellMar>
            <w:top w:w="0" w:type="dxa"/>
            <w:left w:w="108" w:type="dxa"/>
            <w:bottom w:w="0" w:type="dxa"/>
            <w:right w:w="108" w:type="dxa"/>
          </w:tblCellMar>
        </w:tblPrEx>
        <w:trPr>
          <w:trHeight w:val="369" w:hRule="atLeast"/>
        </w:trPr>
        <w:tc>
          <w:tcPr>
            <w:tcW w:w="1092" w:type="pct"/>
            <w:vMerge w:val="continue"/>
            <w:tcBorders>
              <w:top w:val="double" w:color="auto" w:sz="4" w:space="0"/>
              <w:left w:val="single" w:color="auto" w:sz="4" w:space="0"/>
              <w:bottom w:val="single" w:color="auto" w:sz="4" w:space="0"/>
              <w:right w:val="single" w:color="auto" w:sz="4" w:space="0"/>
            </w:tcBorders>
            <w:vAlign w:val="center"/>
          </w:tcPr>
          <w:p w14:paraId="77C009C5">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D43BB56">
            <w:pPr>
              <w:pStyle w:val="150"/>
              <w:jc w:val="left"/>
              <w:rPr>
                <w:sz w:val="18"/>
                <w:szCs w:val="18"/>
              </w:rPr>
            </w:pPr>
            <w:r>
              <w:rPr>
                <w:sz w:val="18"/>
                <w:szCs w:val="18"/>
              </w:rPr>
              <w:t>Sistematski pregled u 1. razredu srednje škole</w:t>
            </w:r>
          </w:p>
        </w:tc>
        <w:tc>
          <w:tcPr>
            <w:tcW w:w="750" w:type="pct"/>
            <w:tcBorders>
              <w:top w:val="single" w:color="auto" w:sz="4" w:space="0"/>
              <w:left w:val="nil"/>
              <w:bottom w:val="single" w:color="auto" w:sz="4" w:space="0"/>
              <w:right w:val="single" w:color="auto" w:sz="4" w:space="0"/>
            </w:tcBorders>
            <w:noWrap/>
            <w:vAlign w:val="center"/>
          </w:tcPr>
          <w:p w14:paraId="4A7693F4">
            <w:pPr>
              <w:pStyle w:val="150"/>
              <w:rPr>
                <w:sz w:val="18"/>
                <w:szCs w:val="18"/>
              </w:rPr>
            </w:pPr>
            <w:r>
              <w:rPr>
                <w:sz w:val="18"/>
              </w:rPr>
              <w:t>3.846</w:t>
            </w:r>
          </w:p>
        </w:tc>
        <w:tc>
          <w:tcPr>
            <w:tcW w:w="655" w:type="pct"/>
            <w:tcBorders>
              <w:top w:val="single" w:color="auto" w:sz="4" w:space="0"/>
              <w:left w:val="nil"/>
              <w:bottom w:val="single" w:color="auto" w:sz="4" w:space="0"/>
              <w:right w:val="single" w:color="auto" w:sz="4" w:space="0"/>
            </w:tcBorders>
            <w:noWrap/>
            <w:vAlign w:val="center"/>
          </w:tcPr>
          <w:p w14:paraId="4216DCF2">
            <w:pPr>
              <w:pStyle w:val="150"/>
              <w:rPr>
                <w:sz w:val="18"/>
                <w:szCs w:val="18"/>
              </w:rPr>
            </w:pPr>
            <w:r>
              <w:rPr>
                <w:sz w:val="18"/>
                <w:szCs w:val="18"/>
              </w:rPr>
              <w:t>7.500</w:t>
            </w:r>
          </w:p>
        </w:tc>
      </w:tr>
      <w:tr w14:paraId="51004152">
        <w:tblPrEx>
          <w:tblCellMar>
            <w:top w:w="0" w:type="dxa"/>
            <w:left w:w="108" w:type="dxa"/>
            <w:bottom w:w="0" w:type="dxa"/>
            <w:right w:w="108" w:type="dxa"/>
          </w:tblCellMar>
        </w:tblPrEx>
        <w:trPr>
          <w:trHeight w:val="369" w:hRule="atLeast"/>
        </w:trPr>
        <w:tc>
          <w:tcPr>
            <w:tcW w:w="1092" w:type="pct"/>
            <w:vMerge w:val="continue"/>
            <w:tcBorders>
              <w:top w:val="double" w:color="auto" w:sz="4" w:space="0"/>
              <w:left w:val="single" w:color="auto" w:sz="4" w:space="0"/>
              <w:bottom w:val="single" w:color="auto" w:sz="4" w:space="0"/>
              <w:right w:val="single" w:color="auto" w:sz="4" w:space="0"/>
            </w:tcBorders>
            <w:vAlign w:val="center"/>
          </w:tcPr>
          <w:p w14:paraId="2C411EB9">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59445A07">
            <w:pPr>
              <w:pStyle w:val="150"/>
              <w:jc w:val="left"/>
              <w:rPr>
                <w:sz w:val="18"/>
                <w:szCs w:val="18"/>
              </w:rPr>
            </w:pPr>
            <w:r>
              <w:rPr>
                <w:sz w:val="18"/>
                <w:szCs w:val="18"/>
              </w:rPr>
              <w:t>Sistematski pregled studenata 1. godine studija</w:t>
            </w:r>
          </w:p>
        </w:tc>
        <w:tc>
          <w:tcPr>
            <w:tcW w:w="750" w:type="pct"/>
            <w:tcBorders>
              <w:top w:val="single" w:color="auto" w:sz="4" w:space="0"/>
              <w:left w:val="nil"/>
              <w:bottom w:val="single" w:color="auto" w:sz="4" w:space="0"/>
              <w:right w:val="single" w:color="auto" w:sz="4" w:space="0"/>
            </w:tcBorders>
            <w:noWrap/>
            <w:vAlign w:val="center"/>
          </w:tcPr>
          <w:p w14:paraId="2E3E9F94">
            <w:pPr>
              <w:pStyle w:val="150"/>
              <w:rPr>
                <w:sz w:val="18"/>
                <w:szCs w:val="18"/>
              </w:rPr>
            </w:pPr>
            <w:r>
              <w:rPr>
                <w:sz w:val="18"/>
              </w:rPr>
              <w:t>4.254</w:t>
            </w:r>
          </w:p>
        </w:tc>
        <w:tc>
          <w:tcPr>
            <w:tcW w:w="655" w:type="pct"/>
            <w:tcBorders>
              <w:top w:val="single" w:color="auto" w:sz="4" w:space="0"/>
              <w:left w:val="nil"/>
              <w:bottom w:val="single" w:color="auto" w:sz="4" w:space="0"/>
              <w:right w:val="single" w:color="auto" w:sz="4" w:space="0"/>
            </w:tcBorders>
            <w:noWrap/>
            <w:vAlign w:val="center"/>
          </w:tcPr>
          <w:p w14:paraId="337CACDC">
            <w:pPr>
              <w:pStyle w:val="150"/>
              <w:rPr>
                <w:sz w:val="18"/>
                <w:szCs w:val="18"/>
              </w:rPr>
            </w:pPr>
            <w:r>
              <w:rPr>
                <w:sz w:val="18"/>
                <w:szCs w:val="18"/>
              </w:rPr>
              <w:t>8.000</w:t>
            </w:r>
          </w:p>
        </w:tc>
      </w:tr>
      <w:tr w14:paraId="7EFF83CD">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bottom w:val="single" w:color="auto" w:sz="4" w:space="0"/>
              <w:right w:val="single" w:color="auto" w:sz="4" w:space="0"/>
            </w:tcBorders>
            <w:vAlign w:val="center"/>
          </w:tcPr>
          <w:p w14:paraId="11D6D8FC">
            <w:pPr>
              <w:pStyle w:val="150"/>
              <w:jc w:val="left"/>
              <w:rPr>
                <w:sz w:val="18"/>
                <w:szCs w:val="18"/>
              </w:rPr>
            </w:pPr>
            <w:r>
              <w:rPr>
                <w:sz w:val="18"/>
                <w:szCs w:val="18"/>
              </w:rPr>
              <w:t>Kontrolni pregledi</w:t>
            </w:r>
          </w:p>
        </w:tc>
        <w:tc>
          <w:tcPr>
            <w:tcW w:w="2503" w:type="pct"/>
            <w:tcBorders>
              <w:top w:val="single" w:color="auto" w:sz="4" w:space="0"/>
              <w:left w:val="nil"/>
              <w:bottom w:val="single" w:color="auto" w:sz="4" w:space="0"/>
              <w:right w:val="single" w:color="auto" w:sz="4" w:space="0"/>
            </w:tcBorders>
            <w:vAlign w:val="center"/>
          </w:tcPr>
          <w:p w14:paraId="7A4EE820">
            <w:pPr>
              <w:pStyle w:val="150"/>
              <w:jc w:val="left"/>
              <w:rPr>
                <w:sz w:val="18"/>
                <w:szCs w:val="18"/>
              </w:rPr>
            </w:pPr>
            <w:r>
              <w:rPr>
                <w:sz w:val="18"/>
                <w:szCs w:val="18"/>
              </w:rPr>
              <w:t>Nakon sistematskih pregleda u osnovnoj školi</w:t>
            </w:r>
          </w:p>
        </w:tc>
        <w:tc>
          <w:tcPr>
            <w:tcW w:w="750" w:type="pct"/>
            <w:tcBorders>
              <w:top w:val="single" w:color="auto" w:sz="4" w:space="0"/>
              <w:left w:val="nil"/>
              <w:bottom w:val="single" w:color="auto" w:sz="4" w:space="0"/>
              <w:right w:val="single" w:color="auto" w:sz="4" w:space="0"/>
            </w:tcBorders>
            <w:noWrap/>
            <w:vAlign w:val="center"/>
          </w:tcPr>
          <w:p w14:paraId="402C16C0">
            <w:pPr>
              <w:pStyle w:val="150"/>
              <w:rPr>
                <w:sz w:val="18"/>
                <w:szCs w:val="18"/>
              </w:rPr>
            </w:pPr>
            <w:r>
              <w:rPr>
                <w:sz w:val="18"/>
              </w:rPr>
              <w:t>1.551</w:t>
            </w:r>
          </w:p>
        </w:tc>
        <w:tc>
          <w:tcPr>
            <w:tcW w:w="655" w:type="pct"/>
            <w:tcBorders>
              <w:top w:val="single" w:color="auto" w:sz="4" w:space="0"/>
              <w:left w:val="nil"/>
              <w:bottom w:val="single" w:color="auto" w:sz="4" w:space="0"/>
              <w:right w:val="single" w:color="auto" w:sz="4" w:space="0"/>
            </w:tcBorders>
            <w:noWrap/>
            <w:vAlign w:val="center"/>
          </w:tcPr>
          <w:p w14:paraId="767198CA">
            <w:pPr>
              <w:pStyle w:val="150"/>
              <w:rPr>
                <w:sz w:val="18"/>
                <w:szCs w:val="18"/>
              </w:rPr>
            </w:pPr>
            <w:r>
              <w:rPr>
                <w:sz w:val="18"/>
                <w:szCs w:val="18"/>
              </w:rPr>
              <w:t>2.000</w:t>
            </w:r>
          </w:p>
        </w:tc>
      </w:tr>
      <w:tr w14:paraId="0BC7110D">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2B704A95">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DE9FA64">
            <w:pPr>
              <w:pStyle w:val="150"/>
              <w:jc w:val="left"/>
              <w:rPr>
                <w:sz w:val="18"/>
                <w:szCs w:val="18"/>
              </w:rPr>
            </w:pPr>
            <w:r>
              <w:rPr>
                <w:sz w:val="18"/>
                <w:szCs w:val="18"/>
              </w:rPr>
              <w:t>Nakon sistematskih pregleda u srednjoj školi</w:t>
            </w:r>
          </w:p>
        </w:tc>
        <w:tc>
          <w:tcPr>
            <w:tcW w:w="750" w:type="pct"/>
            <w:tcBorders>
              <w:top w:val="single" w:color="auto" w:sz="4" w:space="0"/>
              <w:left w:val="nil"/>
              <w:bottom w:val="single" w:color="auto" w:sz="4" w:space="0"/>
              <w:right w:val="single" w:color="auto" w:sz="4" w:space="0"/>
            </w:tcBorders>
            <w:noWrap/>
            <w:vAlign w:val="center"/>
          </w:tcPr>
          <w:p w14:paraId="64379402">
            <w:pPr>
              <w:pStyle w:val="150"/>
              <w:rPr>
                <w:sz w:val="18"/>
                <w:szCs w:val="18"/>
              </w:rPr>
            </w:pPr>
            <w:r>
              <w:rPr>
                <w:sz w:val="18"/>
              </w:rPr>
              <w:t>141</w:t>
            </w:r>
          </w:p>
        </w:tc>
        <w:tc>
          <w:tcPr>
            <w:tcW w:w="655" w:type="pct"/>
            <w:tcBorders>
              <w:top w:val="single" w:color="auto" w:sz="4" w:space="0"/>
              <w:left w:val="nil"/>
              <w:bottom w:val="single" w:color="auto" w:sz="4" w:space="0"/>
              <w:right w:val="single" w:color="auto" w:sz="4" w:space="0"/>
            </w:tcBorders>
            <w:noWrap/>
            <w:vAlign w:val="center"/>
          </w:tcPr>
          <w:p w14:paraId="43360E15">
            <w:pPr>
              <w:pStyle w:val="150"/>
              <w:rPr>
                <w:sz w:val="18"/>
                <w:szCs w:val="18"/>
              </w:rPr>
            </w:pPr>
            <w:r>
              <w:rPr>
                <w:sz w:val="18"/>
                <w:szCs w:val="18"/>
              </w:rPr>
              <w:t>500</w:t>
            </w:r>
          </w:p>
        </w:tc>
      </w:tr>
      <w:tr w14:paraId="34FA7467">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6EE5D5E5">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24B988C">
            <w:pPr>
              <w:pStyle w:val="150"/>
              <w:jc w:val="left"/>
              <w:rPr>
                <w:sz w:val="18"/>
                <w:szCs w:val="18"/>
              </w:rPr>
            </w:pPr>
            <w:r>
              <w:rPr>
                <w:sz w:val="18"/>
                <w:szCs w:val="18"/>
              </w:rPr>
              <w:t>Nakon sistematskih pregleda studenata</w:t>
            </w:r>
          </w:p>
        </w:tc>
        <w:tc>
          <w:tcPr>
            <w:tcW w:w="750" w:type="pct"/>
            <w:tcBorders>
              <w:top w:val="single" w:color="auto" w:sz="4" w:space="0"/>
              <w:left w:val="nil"/>
              <w:bottom w:val="single" w:color="auto" w:sz="4" w:space="0"/>
              <w:right w:val="single" w:color="auto" w:sz="4" w:space="0"/>
            </w:tcBorders>
            <w:noWrap/>
            <w:vAlign w:val="center"/>
          </w:tcPr>
          <w:p w14:paraId="2927EB22">
            <w:pPr>
              <w:pStyle w:val="150"/>
              <w:rPr>
                <w:sz w:val="18"/>
                <w:szCs w:val="18"/>
              </w:rPr>
            </w:pPr>
            <w:r>
              <w:rPr>
                <w:sz w:val="18"/>
              </w:rPr>
              <w:t>58</w:t>
            </w:r>
          </w:p>
        </w:tc>
        <w:tc>
          <w:tcPr>
            <w:tcW w:w="655" w:type="pct"/>
            <w:tcBorders>
              <w:top w:val="single" w:color="auto" w:sz="4" w:space="0"/>
              <w:left w:val="nil"/>
              <w:bottom w:val="single" w:color="auto" w:sz="4" w:space="0"/>
              <w:right w:val="single" w:color="auto" w:sz="4" w:space="0"/>
            </w:tcBorders>
            <w:noWrap/>
            <w:vAlign w:val="center"/>
          </w:tcPr>
          <w:p w14:paraId="7B743AA3">
            <w:pPr>
              <w:pStyle w:val="150"/>
              <w:rPr>
                <w:sz w:val="18"/>
                <w:szCs w:val="18"/>
              </w:rPr>
            </w:pPr>
            <w:r>
              <w:rPr>
                <w:sz w:val="18"/>
                <w:szCs w:val="18"/>
              </w:rPr>
              <w:t>500</w:t>
            </w:r>
          </w:p>
        </w:tc>
      </w:tr>
      <w:tr w14:paraId="11D813D2">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bottom w:val="single" w:color="auto" w:sz="4" w:space="0"/>
              <w:right w:val="single" w:color="auto" w:sz="4" w:space="0"/>
            </w:tcBorders>
            <w:vAlign w:val="center"/>
          </w:tcPr>
          <w:p w14:paraId="0750708F">
            <w:pPr>
              <w:pStyle w:val="150"/>
              <w:jc w:val="left"/>
              <w:rPr>
                <w:sz w:val="18"/>
                <w:szCs w:val="18"/>
              </w:rPr>
            </w:pPr>
            <w:r>
              <w:rPr>
                <w:sz w:val="18"/>
                <w:szCs w:val="18"/>
              </w:rPr>
              <w:t>Namjenski pregledi</w:t>
            </w:r>
          </w:p>
        </w:tc>
        <w:tc>
          <w:tcPr>
            <w:tcW w:w="2503" w:type="pct"/>
            <w:tcBorders>
              <w:top w:val="single" w:color="auto" w:sz="4" w:space="0"/>
              <w:left w:val="nil"/>
              <w:bottom w:val="single" w:color="auto" w:sz="4" w:space="0"/>
              <w:right w:val="single" w:color="auto" w:sz="4" w:space="0"/>
            </w:tcBorders>
            <w:vAlign w:val="center"/>
          </w:tcPr>
          <w:p w14:paraId="33FAC8F6">
            <w:pPr>
              <w:pStyle w:val="150"/>
              <w:jc w:val="left"/>
              <w:rPr>
                <w:sz w:val="18"/>
                <w:szCs w:val="18"/>
              </w:rPr>
            </w:pPr>
            <w:r>
              <w:rPr>
                <w:sz w:val="18"/>
                <w:szCs w:val="18"/>
              </w:rPr>
              <w:t>Osnovna škola</w:t>
            </w:r>
          </w:p>
        </w:tc>
        <w:tc>
          <w:tcPr>
            <w:tcW w:w="750" w:type="pct"/>
            <w:tcBorders>
              <w:top w:val="single" w:color="auto" w:sz="4" w:space="0"/>
              <w:left w:val="nil"/>
              <w:bottom w:val="single" w:color="auto" w:sz="4" w:space="0"/>
              <w:right w:val="single" w:color="auto" w:sz="4" w:space="0"/>
            </w:tcBorders>
            <w:noWrap/>
            <w:vAlign w:val="center"/>
          </w:tcPr>
          <w:p w14:paraId="36FC42E2">
            <w:pPr>
              <w:pStyle w:val="150"/>
              <w:rPr>
                <w:sz w:val="18"/>
                <w:szCs w:val="18"/>
              </w:rPr>
            </w:pPr>
            <w:r>
              <w:rPr>
                <w:sz w:val="18"/>
              </w:rPr>
              <w:t>3.826</w:t>
            </w:r>
          </w:p>
        </w:tc>
        <w:tc>
          <w:tcPr>
            <w:tcW w:w="655" w:type="pct"/>
            <w:tcBorders>
              <w:top w:val="single" w:color="auto" w:sz="4" w:space="0"/>
              <w:left w:val="nil"/>
              <w:bottom w:val="single" w:color="auto" w:sz="4" w:space="0"/>
              <w:right w:val="single" w:color="auto" w:sz="4" w:space="0"/>
            </w:tcBorders>
            <w:noWrap/>
            <w:vAlign w:val="center"/>
          </w:tcPr>
          <w:p w14:paraId="069EB6D1">
            <w:pPr>
              <w:pStyle w:val="150"/>
              <w:rPr>
                <w:sz w:val="18"/>
                <w:szCs w:val="18"/>
              </w:rPr>
            </w:pPr>
            <w:r>
              <w:rPr>
                <w:sz w:val="18"/>
                <w:szCs w:val="18"/>
              </w:rPr>
              <w:t>3.000</w:t>
            </w:r>
          </w:p>
        </w:tc>
      </w:tr>
      <w:tr w14:paraId="006002D3">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297D12FE">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3E4E5A7D">
            <w:pPr>
              <w:pStyle w:val="150"/>
              <w:jc w:val="left"/>
              <w:rPr>
                <w:sz w:val="18"/>
                <w:szCs w:val="18"/>
              </w:rPr>
            </w:pPr>
            <w:r>
              <w:rPr>
                <w:sz w:val="18"/>
                <w:szCs w:val="18"/>
              </w:rPr>
              <w:t>Srednja škola</w:t>
            </w:r>
          </w:p>
        </w:tc>
        <w:tc>
          <w:tcPr>
            <w:tcW w:w="750" w:type="pct"/>
            <w:tcBorders>
              <w:top w:val="single" w:color="auto" w:sz="4" w:space="0"/>
              <w:left w:val="nil"/>
              <w:bottom w:val="single" w:color="auto" w:sz="4" w:space="0"/>
              <w:right w:val="single" w:color="auto" w:sz="4" w:space="0"/>
            </w:tcBorders>
            <w:noWrap/>
            <w:vAlign w:val="center"/>
          </w:tcPr>
          <w:p w14:paraId="5EF23A6F">
            <w:pPr>
              <w:pStyle w:val="150"/>
              <w:rPr>
                <w:sz w:val="18"/>
                <w:szCs w:val="18"/>
              </w:rPr>
            </w:pPr>
            <w:r>
              <w:rPr>
                <w:sz w:val="18"/>
              </w:rPr>
              <w:t>1.966</w:t>
            </w:r>
          </w:p>
        </w:tc>
        <w:tc>
          <w:tcPr>
            <w:tcW w:w="655" w:type="pct"/>
            <w:tcBorders>
              <w:top w:val="single" w:color="auto" w:sz="4" w:space="0"/>
              <w:left w:val="nil"/>
              <w:bottom w:val="single" w:color="auto" w:sz="4" w:space="0"/>
              <w:right w:val="single" w:color="auto" w:sz="4" w:space="0"/>
            </w:tcBorders>
            <w:noWrap/>
            <w:vAlign w:val="center"/>
          </w:tcPr>
          <w:p w14:paraId="0DB8AA0A">
            <w:pPr>
              <w:pStyle w:val="150"/>
              <w:rPr>
                <w:sz w:val="18"/>
                <w:szCs w:val="18"/>
              </w:rPr>
            </w:pPr>
            <w:r>
              <w:rPr>
                <w:sz w:val="18"/>
                <w:szCs w:val="18"/>
              </w:rPr>
              <w:t>1.800</w:t>
            </w:r>
          </w:p>
        </w:tc>
      </w:tr>
      <w:tr w14:paraId="5923AED0">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7E590D2C">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395B5DDA">
            <w:pPr>
              <w:pStyle w:val="150"/>
              <w:jc w:val="left"/>
              <w:rPr>
                <w:sz w:val="18"/>
                <w:szCs w:val="18"/>
              </w:rPr>
            </w:pPr>
            <w:r>
              <w:rPr>
                <w:sz w:val="18"/>
                <w:szCs w:val="18"/>
              </w:rPr>
              <w:t>Studenti</w:t>
            </w:r>
          </w:p>
        </w:tc>
        <w:tc>
          <w:tcPr>
            <w:tcW w:w="750" w:type="pct"/>
            <w:tcBorders>
              <w:top w:val="single" w:color="auto" w:sz="4" w:space="0"/>
              <w:left w:val="nil"/>
              <w:bottom w:val="single" w:color="auto" w:sz="4" w:space="0"/>
              <w:right w:val="single" w:color="auto" w:sz="4" w:space="0"/>
            </w:tcBorders>
            <w:noWrap/>
            <w:vAlign w:val="center"/>
          </w:tcPr>
          <w:p w14:paraId="012C48A5">
            <w:pPr>
              <w:pStyle w:val="150"/>
              <w:rPr>
                <w:sz w:val="18"/>
                <w:szCs w:val="18"/>
              </w:rPr>
            </w:pPr>
            <w:r>
              <w:rPr>
                <w:sz w:val="18"/>
              </w:rPr>
              <w:t>4.804</w:t>
            </w:r>
          </w:p>
        </w:tc>
        <w:tc>
          <w:tcPr>
            <w:tcW w:w="655" w:type="pct"/>
            <w:tcBorders>
              <w:top w:val="single" w:color="auto" w:sz="4" w:space="0"/>
              <w:left w:val="nil"/>
              <w:bottom w:val="single" w:color="auto" w:sz="4" w:space="0"/>
              <w:right w:val="single" w:color="auto" w:sz="4" w:space="0"/>
            </w:tcBorders>
            <w:noWrap/>
            <w:vAlign w:val="center"/>
          </w:tcPr>
          <w:p w14:paraId="1AEB8A41">
            <w:pPr>
              <w:pStyle w:val="150"/>
              <w:rPr>
                <w:sz w:val="18"/>
                <w:szCs w:val="18"/>
              </w:rPr>
            </w:pPr>
            <w:r>
              <w:rPr>
                <w:sz w:val="18"/>
                <w:szCs w:val="18"/>
              </w:rPr>
              <w:t>5.000</w:t>
            </w:r>
          </w:p>
        </w:tc>
      </w:tr>
      <w:tr w14:paraId="2F89B3B9">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bottom w:val="single" w:color="auto" w:sz="4" w:space="0"/>
              <w:right w:val="single" w:color="auto" w:sz="4" w:space="0"/>
            </w:tcBorders>
            <w:vAlign w:val="center"/>
          </w:tcPr>
          <w:p w14:paraId="48F646AE">
            <w:pPr>
              <w:pStyle w:val="150"/>
              <w:jc w:val="left"/>
              <w:rPr>
                <w:sz w:val="18"/>
                <w:szCs w:val="18"/>
              </w:rPr>
            </w:pPr>
            <w:r>
              <w:rPr>
                <w:sz w:val="18"/>
                <w:szCs w:val="18"/>
              </w:rPr>
              <w:t>Cijepljenja</w:t>
            </w:r>
          </w:p>
        </w:tc>
        <w:tc>
          <w:tcPr>
            <w:tcW w:w="2503" w:type="pct"/>
            <w:tcBorders>
              <w:top w:val="single" w:color="auto" w:sz="4" w:space="0"/>
              <w:left w:val="nil"/>
              <w:bottom w:val="single" w:color="auto" w:sz="4" w:space="0"/>
              <w:right w:val="single" w:color="auto" w:sz="4" w:space="0"/>
            </w:tcBorders>
            <w:vAlign w:val="center"/>
          </w:tcPr>
          <w:p w14:paraId="2B024C97">
            <w:pPr>
              <w:pStyle w:val="150"/>
              <w:jc w:val="left"/>
              <w:rPr>
                <w:sz w:val="18"/>
                <w:szCs w:val="18"/>
              </w:rPr>
            </w:pPr>
            <w:r>
              <w:rPr>
                <w:sz w:val="18"/>
                <w:szCs w:val="18"/>
              </w:rPr>
              <w:t>Osnovna škola</w:t>
            </w:r>
          </w:p>
        </w:tc>
        <w:tc>
          <w:tcPr>
            <w:tcW w:w="750" w:type="pct"/>
            <w:tcBorders>
              <w:top w:val="single" w:color="auto" w:sz="4" w:space="0"/>
              <w:left w:val="nil"/>
              <w:bottom w:val="single" w:color="auto" w:sz="4" w:space="0"/>
              <w:right w:val="single" w:color="auto" w:sz="4" w:space="0"/>
            </w:tcBorders>
            <w:noWrap/>
            <w:vAlign w:val="center"/>
          </w:tcPr>
          <w:p w14:paraId="12410C5C">
            <w:pPr>
              <w:pStyle w:val="150"/>
              <w:rPr>
                <w:sz w:val="18"/>
                <w:szCs w:val="18"/>
              </w:rPr>
            </w:pPr>
            <w:r>
              <w:rPr>
                <w:sz w:val="18"/>
              </w:rPr>
              <w:t>28.798</w:t>
            </w:r>
          </w:p>
        </w:tc>
        <w:tc>
          <w:tcPr>
            <w:tcW w:w="655" w:type="pct"/>
            <w:tcBorders>
              <w:top w:val="single" w:color="auto" w:sz="4" w:space="0"/>
              <w:left w:val="nil"/>
              <w:bottom w:val="single" w:color="auto" w:sz="4" w:space="0"/>
              <w:right w:val="single" w:color="auto" w:sz="4" w:space="0"/>
            </w:tcBorders>
            <w:noWrap/>
            <w:vAlign w:val="center"/>
          </w:tcPr>
          <w:p w14:paraId="6483CE2E">
            <w:pPr>
              <w:pStyle w:val="150"/>
              <w:rPr>
                <w:sz w:val="18"/>
                <w:szCs w:val="18"/>
              </w:rPr>
            </w:pPr>
            <w:r>
              <w:rPr>
                <w:sz w:val="18"/>
                <w:szCs w:val="18"/>
              </w:rPr>
              <w:t>25.000</w:t>
            </w:r>
          </w:p>
        </w:tc>
      </w:tr>
      <w:tr w14:paraId="53D4C09E">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50C08118">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4255B1A">
            <w:pPr>
              <w:pStyle w:val="150"/>
              <w:jc w:val="left"/>
              <w:rPr>
                <w:sz w:val="18"/>
                <w:szCs w:val="18"/>
              </w:rPr>
            </w:pPr>
            <w:r>
              <w:rPr>
                <w:sz w:val="18"/>
                <w:szCs w:val="18"/>
              </w:rPr>
              <w:t>Srednja škola</w:t>
            </w:r>
          </w:p>
        </w:tc>
        <w:tc>
          <w:tcPr>
            <w:tcW w:w="750" w:type="pct"/>
            <w:tcBorders>
              <w:top w:val="single" w:color="auto" w:sz="4" w:space="0"/>
              <w:left w:val="nil"/>
              <w:bottom w:val="single" w:color="auto" w:sz="4" w:space="0"/>
              <w:right w:val="single" w:color="auto" w:sz="4" w:space="0"/>
            </w:tcBorders>
            <w:noWrap/>
            <w:vAlign w:val="center"/>
          </w:tcPr>
          <w:p w14:paraId="28249EB5">
            <w:pPr>
              <w:pStyle w:val="150"/>
              <w:rPr>
                <w:sz w:val="18"/>
                <w:szCs w:val="18"/>
              </w:rPr>
            </w:pPr>
            <w:r>
              <w:rPr>
                <w:sz w:val="18"/>
              </w:rPr>
              <w:t>2.084</w:t>
            </w:r>
          </w:p>
        </w:tc>
        <w:tc>
          <w:tcPr>
            <w:tcW w:w="655" w:type="pct"/>
            <w:tcBorders>
              <w:top w:val="single" w:color="auto" w:sz="4" w:space="0"/>
              <w:left w:val="nil"/>
              <w:bottom w:val="single" w:color="auto" w:sz="4" w:space="0"/>
              <w:right w:val="single" w:color="auto" w:sz="4" w:space="0"/>
            </w:tcBorders>
            <w:noWrap/>
            <w:vAlign w:val="center"/>
          </w:tcPr>
          <w:p w14:paraId="1FE94A51">
            <w:pPr>
              <w:pStyle w:val="150"/>
              <w:rPr>
                <w:sz w:val="18"/>
                <w:szCs w:val="18"/>
              </w:rPr>
            </w:pPr>
            <w:r>
              <w:rPr>
                <w:sz w:val="18"/>
                <w:szCs w:val="18"/>
              </w:rPr>
              <w:t>500</w:t>
            </w:r>
          </w:p>
        </w:tc>
      </w:tr>
      <w:tr w14:paraId="263BB23A">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bottom w:val="single" w:color="auto" w:sz="4" w:space="0"/>
              <w:right w:val="single" w:color="auto" w:sz="4" w:space="0"/>
            </w:tcBorders>
            <w:vAlign w:val="center"/>
          </w:tcPr>
          <w:p w14:paraId="23EE5A45">
            <w:pPr>
              <w:pStyle w:val="150"/>
              <w:jc w:val="left"/>
              <w:rPr>
                <w:sz w:val="18"/>
                <w:szCs w:val="18"/>
              </w:rPr>
            </w:pPr>
            <w:r>
              <w:rPr>
                <w:sz w:val="18"/>
                <w:szCs w:val="18"/>
              </w:rPr>
              <w:t>Zdravstveni odgoj</w:t>
            </w:r>
          </w:p>
        </w:tc>
        <w:tc>
          <w:tcPr>
            <w:tcW w:w="2503" w:type="pct"/>
            <w:tcBorders>
              <w:top w:val="single" w:color="auto" w:sz="4" w:space="0"/>
              <w:left w:val="nil"/>
              <w:bottom w:val="single" w:color="auto" w:sz="4" w:space="0"/>
              <w:right w:val="single" w:color="auto" w:sz="4" w:space="0"/>
            </w:tcBorders>
            <w:vAlign w:val="center"/>
          </w:tcPr>
          <w:p w14:paraId="0A09DFFD">
            <w:pPr>
              <w:pStyle w:val="150"/>
              <w:jc w:val="left"/>
              <w:rPr>
                <w:sz w:val="18"/>
                <w:szCs w:val="18"/>
              </w:rPr>
            </w:pPr>
            <w:r>
              <w:rPr>
                <w:sz w:val="18"/>
                <w:szCs w:val="18"/>
              </w:rPr>
              <w:t>Osnovna škola – učenici</w:t>
            </w:r>
          </w:p>
        </w:tc>
        <w:tc>
          <w:tcPr>
            <w:tcW w:w="750" w:type="pct"/>
            <w:tcBorders>
              <w:top w:val="single" w:color="auto" w:sz="4" w:space="0"/>
              <w:left w:val="nil"/>
              <w:bottom w:val="single" w:color="auto" w:sz="4" w:space="0"/>
              <w:right w:val="single" w:color="auto" w:sz="4" w:space="0"/>
            </w:tcBorders>
            <w:noWrap/>
            <w:vAlign w:val="center"/>
          </w:tcPr>
          <w:p w14:paraId="37E294FF">
            <w:pPr>
              <w:pStyle w:val="150"/>
              <w:rPr>
                <w:sz w:val="18"/>
                <w:szCs w:val="18"/>
              </w:rPr>
            </w:pPr>
            <w:r>
              <w:rPr>
                <w:sz w:val="18"/>
              </w:rPr>
              <w:t>22.892</w:t>
            </w:r>
          </w:p>
        </w:tc>
        <w:tc>
          <w:tcPr>
            <w:tcW w:w="655" w:type="pct"/>
            <w:tcBorders>
              <w:top w:val="single" w:color="auto" w:sz="4" w:space="0"/>
              <w:left w:val="nil"/>
              <w:bottom w:val="single" w:color="auto" w:sz="4" w:space="0"/>
              <w:right w:val="single" w:color="auto" w:sz="4" w:space="0"/>
            </w:tcBorders>
            <w:noWrap/>
            <w:vAlign w:val="center"/>
          </w:tcPr>
          <w:p w14:paraId="0A7ADB4C">
            <w:pPr>
              <w:pStyle w:val="150"/>
              <w:rPr>
                <w:sz w:val="18"/>
                <w:szCs w:val="18"/>
              </w:rPr>
            </w:pPr>
            <w:r>
              <w:rPr>
                <w:sz w:val="18"/>
                <w:szCs w:val="18"/>
              </w:rPr>
              <w:t>30.000</w:t>
            </w:r>
          </w:p>
        </w:tc>
      </w:tr>
      <w:tr w14:paraId="5A373637">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5B3116B6">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5413470">
            <w:pPr>
              <w:pStyle w:val="150"/>
              <w:jc w:val="left"/>
              <w:rPr>
                <w:sz w:val="18"/>
                <w:szCs w:val="18"/>
              </w:rPr>
            </w:pPr>
            <w:r>
              <w:rPr>
                <w:sz w:val="18"/>
                <w:szCs w:val="18"/>
              </w:rPr>
              <w:t>Osnovna škola – roditelji</w:t>
            </w:r>
          </w:p>
        </w:tc>
        <w:tc>
          <w:tcPr>
            <w:tcW w:w="750" w:type="pct"/>
            <w:tcBorders>
              <w:top w:val="single" w:color="auto" w:sz="4" w:space="0"/>
              <w:left w:val="nil"/>
              <w:bottom w:val="single" w:color="auto" w:sz="4" w:space="0"/>
              <w:right w:val="single" w:color="auto" w:sz="4" w:space="0"/>
            </w:tcBorders>
            <w:noWrap/>
            <w:vAlign w:val="center"/>
          </w:tcPr>
          <w:p w14:paraId="31856AE1">
            <w:pPr>
              <w:pStyle w:val="150"/>
              <w:rPr>
                <w:sz w:val="18"/>
                <w:szCs w:val="18"/>
              </w:rPr>
            </w:pPr>
            <w:r>
              <w:rPr>
                <w:sz w:val="18"/>
              </w:rPr>
              <w:t>971</w:t>
            </w:r>
          </w:p>
        </w:tc>
        <w:tc>
          <w:tcPr>
            <w:tcW w:w="655" w:type="pct"/>
            <w:tcBorders>
              <w:top w:val="single" w:color="auto" w:sz="4" w:space="0"/>
              <w:left w:val="nil"/>
              <w:bottom w:val="single" w:color="auto" w:sz="4" w:space="0"/>
              <w:right w:val="single" w:color="auto" w:sz="4" w:space="0"/>
            </w:tcBorders>
            <w:noWrap/>
            <w:vAlign w:val="center"/>
          </w:tcPr>
          <w:p w14:paraId="66620A6F">
            <w:pPr>
              <w:pStyle w:val="150"/>
              <w:rPr>
                <w:sz w:val="18"/>
                <w:szCs w:val="18"/>
              </w:rPr>
            </w:pPr>
            <w:r>
              <w:rPr>
                <w:sz w:val="18"/>
                <w:szCs w:val="18"/>
              </w:rPr>
              <w:t>5.000</w:t>
            </w:r>
          </w:p>
        </w:tc>
      </w:tr>
      <w:tr w14:paraId="4F527EBA">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1327B96B">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760104C0">
            <w:pPr>
              <w:pStyle w:val="150"/>
              <w:jc w:val="left"/>
              <w:rPr>
                <w:sz w:val="18"/>
                <w:szCs w:val="18"/>
              </w:rPr>
            </w:pPr>
            <w:r>
              <w:rPr>
                <w:sz w:val="18"/>
                <w:szCs w:val="18"/>
              </w:rPr>
              <w:t>Srednja škola – učenici</w:t>
            </w:r>
          </w:p>
        </w:tc>
        <w:tc>
          <w:tcPr>
            <w:tcW w:w="750" w:type="pct"/>
            <w:tcBorders>
              <w:top w:val="single" w:color="auto" w:sz="4" w:space="0"/>
              <w:left w:val="nil"/>
              <w:bottom w:val="single" w:color="auto" w:sz="4" w:space="0"/>
              <w:right w:val="single" w:color="auto" w:sz="4" w:space="0"/>
            </w:tcBorders>
            <w:noWrap/>
            <w:vAlign w:val="center"/>
          </w:tcPr>
          <w:p w14:paraId="20203383">
            <w:pPr>
              <w:pStyle w:val="150"/>
              <w:rPr>
                <w:sz w:val="18"/>
                <w:szCs w:val="18"/>
              </w:rPr>
            </w:pPr>
            <w:r>
              <w:rPr>
                <w:sz w:val="18"/>
              </w:rPr>
              <w:t>3.188</w:t>
            </w:r>
          </w:p>
        </w:tc>
        <w:tc>
          <w:tcPr>
            <w:tcW w:w="655" w:type="pct"/>
            <w:tcBorders>
              <w:top w:val="single" w:color="auto" w:sz="4" w:space="0"/>
              <w:left w:val="nil"/>
              <w:bottom w:val="single" w:color="auto" w:sz="4" w:space="0"/>
              <w:right w:val="single" w:color="auto" w:sz="4" w:space="0"/>
            </w:tcBorders>
            <w:noWrap/>
            <w:vAlign w:val="center"/>
          </w:tcPr>
          <w:p w14:paraId="0E64E283">
            <w:pPr>
              <w:pStyle w:val="150"/>
              <w:rPr>
                <w:sz w:val="18"/>
                <w:szCs w:val="18"/>
              </w:rPr>
            </w:pPr>
            <w:r>
              <w:rPr>
                <w:sz w:val="18"/>
                <w:szCs w:val="18"/>
              </w:rPr>
              <w:t>15.000</w:t>
            </w:r>
          </w:p>
        </w:tc>
      </w:tr>
      <w:tr w14:paraId="4047E330">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bottom w:val="single" w:color="auto" w:sz="4" w:space="0"/>
              <w:right w:val="single" w:color="auto" w:sz="4" w:space="0"/>
            </w:tcBorders>
            <w:vAlign w:val="center"/>
          </w:tcPr>
          <w:p w14:paraId="2AD475D2">
            <w:pPr>
              <w:pStyle w:val="150"/>
              <w:jc w:val="left"/>
              <w:rPr>
                <w:sz w:val="18"/>
                <w:szCs w:val="18"/>
              </w:rPr>
            </w:pPr>
            <w:r>
              <w:rPr>
                <w:sz w:val="18"/>
                <w:szCs w:val="18"/>
              </w:rPr>
              <w:t>Probiri za čitavu populaciju</w:t>
            </w:r>
          </w:p>
        </w:tc>
        <w:tc>
          <w:tcPr>
            <w:tcW w:w="2503" w:type="pct"/>
            <w:tcBorders>
              <w:top w:val="single" w:color="auto" w:sz="4" w:space="0"/>
              <w:left w:val="nil"/>
              <w:bottom w:val="single" w:color="auto" w:sz="4" w:space="0"/>
              <w:right w:val="single" w:color="auto" w:sz="4" w:space="0"/>
            </w:tcBorders>
            <w:vAlign w:val="center"/>
          </w:tcPr>
          <w:p w14:paraId="33B8C15F">
            <w:pPr>
              <w:pStyle w:val="150"/>
              <w:jc w:val="left"/>
              <w:rPr>
                <w:sz w:val="18"/>
                <w:szCs w:val="18"/>
              </w:rPr>
            </w:pPr>
            <w:r>
              <w:rPr>
                <w:sz w:val="18"/>
                <w:szCs w:val="18"/>
              </w:rPr>
              <w:t>Rast i razvoj – 3. razred OŠ</w:t>
            </w:r>
          </w:p>
        </w:tc>
        <w:tc>
          <w:tcPr>
            <w:tcW w:w="750" w:type="pct"/>
            <w:tcBorders>
              <w:top w:val="single" w:color="auto" w:sz="4" w:space="0"/>
              <w:left w:val="nil"/>
              <w:bottom w:val="single" w:color="auto" w:sz="4" w:space="0"/>
              <w:right w:val="single" w:color="auto" w:sz="4" w:space="0"/>
            </w:tcBorders>
            <w:noWrap/>
            <w:vAlign w:val="center"/>
          </w:tcPr>
          <w:p w14:paraId="51DF294F">
            <w:pPr>
              <w:pStyle w:val="150"/>
              <w:rPr>
                <w:sz w:val="18"/>
                <w:szCs w:val="18"/>
              </w:rPr>
            </w:pPr>
            <w:r>
              <w:rPr>
                <w:sz w:val="18"/>
              </w:rPr>
              <w:t>5.858</w:t>
            </w:r>
          </w:p>
        </w:tc>
        <w:tc>
          <w:tcPr>
            <w:tcW w:w="655" w:type="pct"/>
            <w:tcBorders>
              <w:top w:val="single" w:color="auto" w:sz="4" w:space="0"/>
              <w:left w:val="nil"/>
              <w:bottom w:val="single" w:color="auto" w:sz="4" w:space="0"/>
              <w:right w:val="single" w:color="auto" w:sz="4" w:space="0"/>
            </w:tcBorders>
            <w:noWrap/>
            <w:vAlign w:val="center"/>
          </w:tcPr>
          <w:p w14:paraId="7940A6B2">
            <w:pPr>
              <w:pStyle w:val="150"/>
              <w:rPr>
                <w:sz w:val="18"/>
                <w:szCs w:val="18"/>
              </w:rPr>
            </w:pPr>
            <w:r>
              <w:rPr>
                <w:sz w:val="18"/>
                <w:szCs w:val="18"/>
              </w:rPr>
              <w:t>7.500</w:t>
            </w:r>
          </w:p>
        </w:tc>
      </w:tr>
      <w:tr w14:paraId="45847D76">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20E39144">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55489599">
            <w:pPr>
              <w:pStyle w:val="150"/>
              <w:jc w:val="left"/>
              <w:rPr>
                <w:sz w:val="18"/>
                <w:szCs w:val="18"/>
              </w:rPr>
            </w:pPr>
            <w:r>
              <w:rPr>
                <w:sz w:val="18"/>
                <w:szCs w:val="18"/>
              </w:rPr>
              <w:t>Vid na boje, oštrina vida – 3. razred OŠ</w:t>
            </w:r>
          </w:p>
        </w:tc>
        <w:tc>
          <w:tcPr>
            <w:tcW w:w="750" w:type="pct"/>
            <w:tcBorders>
              <w:top w:val="single" w:color="auto" w:sz="4" w:space="0"/>
              <w:left w:val="nil"/>
              <w:bottom w:val="single" w:color="auto" w:sz="4" w:space="0"/>
              <w:right w:val="single" w:color="auto" w:sz="4" w:space="0"/>
            </w:tcBorders>
            <w:noWrap/>
            <w:vAlign w:val="center"/>
          </w:tcPr>
          <w:p w14:paraId="5C9FFBC0">
            <w:pPr>
              <w:pStyle w:val="150"/>
              <w:rPr>
                <w:sz w:val="18"/>
                <w:szCs w:val="18"/>
              </w:rPr>
            </w:pPr>
            <w:r>
              <w:rPr>
                <w:sz w:val="18"/>
              </w:rPr>
              <w:t>5.864</w:t>
            </w:r>
          </w:p>
        </w:tc>
        <w:tc>
          <w:tcPr>
            <w:tcW w:w="655" w:type="pct"/>
            <w:tcBorders>
              <w:top w:val="single" w:color="auto" w:sz="4" w:space="0"/>
              <w:left w:val="nil"/>
              <w:bottom w:val="single" w:color="auto" w:sz="4" w:space="0"/>
              <w:right w:val="single" w:color="auto" w:sz="4" w:space="0"/>
            </w:tcBorders>
            <w:noWrap/>
            <w:vAlign w:val="center"/>
          </w:tcPr>
          <w:p w14:paraId="0089E78B">
            <w:pPr>
              <w:pStyle w:val="150"/>
              <w:rPr>
                <w:sz w:val="18"/>
                <w:szCs w:val="18"/>
              </w:rPr>
            </w:pPr>
            <w:r>
              <w:rPr>
                <w:sz w:val="18"/>
                <w:szCs w:val="18"/>
              </w:rPr>
              <w:t>7.500</w:t>
            </w:r>
          </w:p>
        </w:tc>
      </w:tr>
      <w:tr w14:paraId="6C2FC772">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06CDFA07">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26FD9B89">
            <w:pPr>
              <w:pStyle w:val="150"/>
              <w:jc w:val="left"/>
              <w:rPr>
                <w:sz w:val="18"/>
                <w:szCs w:val="18"/>
              </w:rPr>
            </w:pPr>
            <w:r>
              <w:rPr>
                <w:sz w:val="18"/>
                <w:szCs w:val="18"/>
              </w:rPr>
              <w:t>Rast i razvoj, skolioza – 6. razred OŠ</w:t>
            </w:r>
          </w:p>
        </w:tc>
        <w:tc>
          <w:tcPr>
            <w:tcW w:w="750" w:type="pct"/>
            <w:tcBorders>
              <w:top w:val="single" w:color="auto" w:sz="4" w:space="0"/>
              <w:left w:val="nil"/>
              <w:bottom w:val="single" w:color="auto" w:sz="4" w:space="0"/>
              <w:right w:val="single" w:color="auto" w:sz="4" w:space="0"/>
            </w:tcBorders>
            <w:noWrap/>
            <w:vAlign w:val="center"/>
          </w:tcPr>
          <w:p w14:paraId="6A44AB10">
            <w:pPr>
              <w:pStyle w:val="150"/>
              <w:rPr>
                <w:sz w:val="18"/>
                <w:szCs w:val="18"/>
              </w:rPr>
            </w:pPr>
            <w:r>
              <w:rPr>
                <w:sz w:val="18"/>
              </w:rPr>
              <w:t>10.838</w:t>
            </w:r>
          </w:p>
        </w:tc>
        <w:tc>
          <w:tcPr>
            <w:tcW w:w="655" w:type="pct"/>
            <w:tcBorders>
              <w:top w:val="single" w:color="auto" w:sz="4" w:space="0"/>
              <w:left w:val="nil"/>
              <w:bottom w:val="single" w:color="auto" w:sz="4" w:space="0"/>
              <w:right w:val="single" w:color="auto" w:sz="4" w:space="0"/>
            </w:tcBorders>
            <w:noWrap/>
            <w:vAlign w:val="center"/>
          </w:tcPr>
          <w:p w14:paraId="67636BE9">
            <w:pPr>
              <w:pStyle w:val="150"/>
              <w:rPr>
                <w:sz w:val="18"/>
                <w:szCs w:val="18"/>
              </w:rPr>
            </w:pPr>
            <w:r>
              <w:rPr>
                <w:sz w:val="18"/>
                <w:szCs w:val="18"/>
              </w:rPr>
              <w:t>15.000</w:t>
            </w:r>
          </w:p>
        </w:tc>
      </w:tr>
      <w:tr w14:paraId="6435CA66">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00035FA6">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C7900E7">
            <w:pPr>
              <w:pStyle w:val="150"/>
              <w:jc w:val="left"/>
              <w:rPr>
                <w:sz w:val="18"/>
                <w:szCs w:val="18"/>
              </w:rPr>
            </w:pPr>
            <w:r>
              <w:rPr>
                <w:sz w:val="18"/>
                <w:szCs w:val="18"/>
              </w:rPr>
              <w:t>Ponašanje, socijalizacija, prilagodba na školu</w:t>
            </w:r>
          </w:p>
        </w:tc>
        <w:tc>
          <w:tcPr>
            <w:tcW w:w="750" w:type="pct"/>
            <w:tcBorders>
              <w:top w:val="single" w:color="auto" w:sz="4" w:space="0"/>
              <w:left w:val="nil"/>
              <w:bottom w:val="single" w:color="auto" w:sz="4" w:space="0"/>
              <w:right w:val="single" w:color="auto" w:sz="4" w:space="0"/>
            </w:tcBorders>
            <w:noWrap/>
            <w:vAlign w:val="center"/>
          </w:tcPr>
          <w:p w14:paraId="69246E17">
            <w:pPr>
              <w:pStyle w:val="150"/>
              <w:rPr>
                <w:sz w:val="18"/>
                <w:szCs w:val="18"/>
              </w:rPr>
            </w:pPr>
            <w:r>
              <w:rPr>
                <w:sz w:val="18"/>
              </w:rPr>
              <w:t>3.681</w:t>
            </w:r>
          </w:p>
        </w:tc>
        <w:tc>
          <w:tcPr>
            <w:tcW w:w="655" w:type="pct"/>
            <w:tcBorders>
              <w:top w:val="single" w:color="auto" w:sz="4" w:space="0"/>
              <w:left w:val="nil"/>
              <w:bottom w:val="single" w:color="auto" w:sz="4" w:space="0"/>
              <w:right w:val="single" w:color="auto" w:sz="4" w:space="0"/>
            </w:tcBorders>
            <w:noWrap/>
            <w:vAlign w:val="center"/>
          </w:tcPr>
          <w:p w14:paraId="35A05DA8">
            <w:pPr>
              <w:pStyle w:val="150"/>
              <w:rPr>
                <w:sz w:val="18"/>
                <w:szCs w:val="18"/>
              </w:rPr>
            </w:pPr>
            <w:r>
              <w:rPr>
                <w:sz w:val="18"/>
                <w:szCs w:val="18"/>
              </w:rPr>
              <w:t>3.000</w:t>
            </w:r>
          </w:p>
        </w:tc>
      </w:tr>
      <w:tr w14:paraId="6B3E1648">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bottom w:val="single" w:color="auto" w:sz="4" w:space="0"/>
              <w:right w:val="single" w:color="auto" w:sz="4" w:space="0"/>
            </w:tcBorders>
            <w:vAlign w:val="center"/>
          </w:tcPr>
          <w:p w14:paraId="7EA2991F">
            <w:pPr>
              <w:pStyle w:val="150"/>
              <w:jc w:val="left"/>
              <w:rPr>
                <w:sz w:val="18"/>
                <w:szCs w:val="18"/>
              </w:rPr>
            </w:pPr>
            <w:r>
              <w:rPr>
                <w:sz w:val="18"/>
                <w:szCs w:val="18"/>
              </w:rPr>
              <w:t xml:space="preserve">Savjetovališta </w:t>
            </w:r>
          </w:p>
        </w:tc>
        <w:tc>
          <w:tcPr>
            <w:tcW w:w="2503" w:type="pct"/>
            <w:tcBorders>
              <w:top w:val="single" w:color="auto" w:sz="4" w:space="0"/>
              <w:left w:val="nil"/>
              <w:bottom w:val="single" w:color="auto" w:sz="4" w:space="0"/>
              <w:right w:val="single" w:color="auto" w:sz="4" w:space="0"/>
            </w:tcBorders>
            <w:vAlign w:val="center"/>
          </w:tcPr>
          <w:p w14:paraId="3ED933F2">
            <w:pPr>
              <w:pStyle w:val="150"/>
              <w:jc w:val="left"/>
              <w:rPr>
                <w:sz w:val="18"/>
                <w:szCs w:val="18"/>
              </w:rPr>
            </w:pPr>
            <w:r>
              <w:rPr>
                <w:sz w:val="18"/>
                <w:szCs w:val="18"/>
              </w:rPr>
              <w:t>OŠ – problemi učenja</w:t>
            </w:r>
          </w:p>
        </w:tc>
        <w:tc>
          <w:tcPr>
            <w:tcW w:w="750" w:type="pct"/>
            <w:tcBorders>
              <w:top w:val="single" w:color="auto" w:sz="4" w:space="0"/>
              <w:left w:val="nil"/>
              <w:bottom w:val="single" w:color="auto" w:sz="4" w:space="0"/>
              <w:right w:val="single" w:color="auto" w:sz="4" w:space="0"/>
            </w:tcBorders>
            <w:noWrap/>
            <w:vAlign w:val="center"/>
          </w:tcPr>
          <w:p w14:paraId="2DAAA428">
            <w:pPr>
              <w:pStyle w:val="150"/>
              <w:rPr>
                <w:sz w:val="18"/>
                <w:szCs w:val="18"/>
              </w:rPr>
            </w:pPr>
            <w:r>
              <w:rPr>
                <w:sz w:val="18"/>
              </w:rPr>
              <w:t>841</w:t>
            </w:r>
          </w:p>
        </w:tc>
        <w:tc>
          <w:tcPr>
            <w:tcW w:w="655" w:type="pct"/>
            <w:tcBorders>
              <w:top w:val="single" w:color="auto" w:sz="4" w:space="0"/>
              <w:left w:val="nil"/>
              <w:bottom w:val="single" w:color="auto" w:sz="4" w:space="0"/>
              <w:right w:val="single" w:color="auto" w:sz="4" w:space="0"/>
            </w:tcBorders>
            <w:noWrap/>
            <w:vAlign w:val="center"/>
          </w:tcPr>
          <w:p w14:paraId="066852D3">
            <w:pPr>
              <w:pStyle w:val="150"/>
              <w:rPr>
                <w:sz w:val="18"/>
                <w:szCs w:val="18"/>
              </w:rPr>
            </w:pPr>
            <w:r>
              <w:rPr>
                <w:sz w:val="18"/>
                <w:szCs w:val="18"/>
              </w:rPr>
              <w:t>1.000</w:t>
            </w:r>
          </w:p>
        </w:tc>
      </w:tr>
      <w:tr w14:paraId="32CF9898">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47E9B9BF">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6C87BC4F">
            <w:pPr>
              <w:pStyle w:val="150"/>
              <w:jc w:val="left"/>
              <w:rPr>
                <w:sz w:val="18"/>
                <w:szCs w:val="18"/>
              </w:rPr>
            </w:pPr>
            <w:r>
              <w:rPr>
                <w:sz w:val="18"/>
                <w:szCs w:val="18"/>
              </w:rPr>
              <w:t>OŠ – rizična ponašanja</w:t>
            </w:r>
          </w:p>
        </w:tc>
        <w:tc>
          <w:tcPr>
            <w:tcW w:w="750" w:type="pct"/>
            <w:tcBorders>
              <w:top w:val="single" w:color="auto" w:sz="4" w:space="0"/>
              <w:left w:val="nil"/>
              <w:bottom w:val="single" w:color="auto" w:sz="4" w:space="0"/>
              <w:right w:val="single" w:color="auto" w:sz="4" w:space="0"/>
            </w:tcBorders>
            <w:noWrap/>
            <w:vAlign w:val="center"/>
          </w:tcPr>
          <w:p w14:paraId="2E50206E">
            <w:pPr>
              <w:pStyle w:val="150"/>
              <w:rPr>
                <w:sz w:val="18"/>
                <w:szCs w:val="18"/>
              </w:rPr>
            </w:pPr>
            <w:r>
              <w:rPr>
                <w:sz w:val="18"/>
              </w:rPr>
              <w:t>63</w:t>
            </w:r>
          </w:p>
        </w:tc>
        <w:tc>
          <w:tcPr>
            <w:tcW w:w="655" w:type="pct"/>
            <w:tcBorders>
              <w:top w:val="single" w:color="auto" w:sz="4" w:space="0"/>
              <w:left w:val="nil"/>
              <w:bottom w:val="single" w:color="auto" w:sz="4" w:space="0"/>
              <w:right w:val="single" w:color="auto" w:sz="4" w:space="0"/>
            </w:tcBorders>
            <w:noWrap/>
            <w:vAlign w:val="center"/>
          </w:tcPr>
          <w:p w14:paraId="52F8EE02">
            <w:pPr>
              <w:pStyle w:val="150"/>
              <w:rPr>
                <w:sz w:val="18"/>
                <w:szCs w:val="18"/>
              </w:rPr>
            </w:pPr>
            <w:r>
              <w:rPr>
                <w:sz w:val="18"/>
                <w:szCs w:val="18"/>
              </w:rPr>
              <w:t>100</w:t>
            </w:r>
          </w:p>
        </w:tc>
      </w:tr>
      <w:tr w14:paraId="1CEC8934">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611DDF33">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52089B84">
            <w:pPr>
              <w:pStyle w:val="150"/>
              <w:jc w:val="left"/>
              <w:rPr>
                <w:sz w:val="18"/>
                <w:szCs w:val="18"/>
              </w:rPr>
            </w:pPr>
            <w:r>
              <w:rPr>
                <w:sz w:val="18"/>
                <w:szCs w:val="18"/>
              </w:rPr>
              <w:t>OŠ – mentalno zdravlje</w:t>
            </w:r>
          </w:p>
        </w:tc>
        <w:tc>
          <w:tcPr>
            <w:tcW w:w="750" w:type="pct"/>
            <w:tcBorders>
              <w:top w:val="single" w:color="auto" w:sz="4" w:space="0"/>
              <w:left w:val="nil"/>
              <w:bottom w:val="single" w:color="auto" w:sz="4" w:space="0"/>
              <w:right w:val="single" w:color="auto" w:sz="4" w:space="0"/>
            </w:tcBorders>
            <w:noWrap/>
            <w:vAlign w:val="center"/>
          </w:tcPr>
          <w:p w14:paraId="2F42F7B0">
            <w:pPr>
              <w:pStyle w:val="150"/>
              <w:rPr>
                <w:sz w:val="18"/>
                <w:szCs w:val="18"/>
              </w:rPr>
            </w:pPr>
            <w:r>
              <w:rPr>
                <w:sz w:val="18"/>
              </w:rPr>
              <w:t>617</w:t>
            </w:r>
          </w:p>
        </w:tc>
        <w:tc>
          <w:tcPr>
            <w:tcW w:w="655" w:type="pct"/>
            <w:tcBorders>
              <w:top w:val="single" w:color="auto" w:sz="4" w:space="0"/>
              <w:left w:val="nil"/>
              <w:bottom w:val="single" w:color="auto" w:sz="4" w:space="0"/>
              <w:right w:val="single" w:color="auto" w:sz="4" w:space="0"/>
            </w:tcBorders>
            <w:noWrap/>
            <w:vAlign w:val="center"/>
          </w:tcPr>
          <w:p w14:paraId="3724E185">
            <w:pPr>
              <w:pStyle w:val="150"/>
              <w:rPr>
                <w:sz w:val="18"/>
                <w:szCs w:val="18"/>
              </w:rPr>
            </w:pPr>
            <w:r>
              <w:rPr>
                <w:sz w:val="18"/>
                <w:szCs w:val="18"/>
              </w:rPr>
              <w:t>750</w:t>
            </w:r>
          </w:p>
        </w:tc>
      </w:tr>
      <w:tr w14:paraId="44DEB7FC">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39585A38">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D89F761">
            <w:pPr>
              <w:pStyle w:val="150"/>
              <w:jc w:val="left"/>
              <w:rPr>
                <w:sz w:val="18"/>
                <w:szCs w:val="18"/>
              </w:rPr>
            </w:pPr>
            <w:r>
              <w:rPr>
                <w:sz w:val="18"/>
                <w:szCs w:val="18"/>
              </w:rPr>
              <w:t>OŠ – reproduktivno zdravlje</w:t>
            </w:r>
          </w:p>
        </w:tc>
        <w:tc>
          <w:tcPr>
            <w:tcW w:w="750" w:type="pct"/>
            <w:tcBorders>
              <w:top w:val="single" w:color="auto" w:sz="4" w:space="0"/>
              <w:left w:val="nil"/>
              <w:bottom w:val="single" w:color="auto" w:sz="4" w:space="0"/>
              <w:right w:val="single" w:color="auto" w:sz="4" w:space="0"/>
            </w:tcBorders>
            <w:noWrap/>
            <w:vAlign w:val="center"/>
          </w:tcPr>
          <w:p w14:paraId="00E40056">
            <w:pPr>
              <w:pStyle w:val="150"/>
              <w:rPr>
                <w:sz w:val="18"/>
                <w:szCs w:val="18"/>
              </w:rPr>
            </w:pPr>
            <w:r>
              <w:rPr>
                <w:sz w:val="18"/>
              </w:rPr>
              <w:t>401</w:t>
            </w:r>
          </w:p>
        </w:tc>
        <w:tc>
          <w:tcPr>
            <w:tcW w:w="655" w:type="pct"/>
            <w:tcBorders>
              <w:top w:val="single" w:color="auto" w:sz="4" w:space="0"/>
              <w:left w:val="nil"/>
              <w:bottom w:val="single" w:color="auto" w:sz="4" w:space="0"/>
              <w:right w:val="single" w:color="auto" w:sz="4" w:space="0"/>
            </w:tcBorders>
            <w:noWrap/>
            <w:vAlign w:val="center"/>
          </w:tcPr>
          <w:p w14:paraId="45ED8A48">
            <w:pPr>
              <w:pStyle w:val="150"/>
              <w:rPr>
                <w:sz w:val="18"/>
                <w:szCs w:val="18"/>
              </w:rPr>
            </w:pPr>
            <w:r>
              <w:rPr>
                <w:sz w:val="18"/>
                <w:szCs w:val="18"/>
              </w:rPr>
              <w:t>500</w:t>
            </w:r>
          </w:p>
        </w:tc>
      </w:tr>
      <w:tr w14:paraId="1EC05E08">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2F451CF5">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974B7C0">
            <w:pPr>
              <w:pStyle w:val="150"/>
              <w:jc w:val="left"/>
              <w:rPr>
                <w:sz w:val="18"/>
                <w:szCs w:val="18"/>
              </w:rPr>
            </w:pPr>
            <w:r>
              <w:rPr>
                <w:sz w:val="18"/>
                <w:szCs w:val="18"/>
              </w:rPr>
              <w:t>OŠ – kroničari</w:t>
            </w:r>
          </w:p>
        </w:tc>
        <w:tc>
          <w:tcPr>
            <w:tcW w:w="750" w:type="pct"/>
            <w:tcBorders>
              <w:top w:val="single" w:color="auto" w:sz="4" w:space="0"/>
              <w:left w:val="nil"/>
              <w:bottom w:val="single" w:color="auto" w:sz="4" w:space="0"/>
              <w:right w:val="single" w:color="auto" w:sz="4" w:space="0"/>
            </w:tcBorders>
            <w:noWrap/>
            <w:vAlign w:val="center"/>
          </w:tcPr>
          <w:p w14:paraId="5DBA04EF">
            <w:pPr>
              <w:pStyle w:val="150"/>
              <w:rPr>
                <w:sz w:val="18"/>
                <w:szCs w:val="18"/>
              </w:rPr>
            </w:pPr>
            <w:r>
              <w:rPr>
                <w:sz w:val="18"/>
              </w:rPr>
              <w:t>428</w:t>
            </w:r>
          </w:p>
        </w:tc>
        <w:tc>
          <w:tcPr>
            <w:tcW w:w="655" w:type="pct"/>
            <w:tcBorders>
              <w:top w:val="single" w:color="auto" w:sz="4" w:space="0"/>
              <w:left w:val="nil"/>
              <w:bottom w:val="single" w:color="auto" w:sz="4" w:space="0"/>
              <w:right w:val="single" w:color="auto" w:sz="4" w:space="0"/>
            </w:tcBorders>
            <w:noWrap/>
            <w:vAlign w:val="center"/>
          </w:tcPr>
          <w:p w14:paraId="445C29E7">
            <w:pPr>
              <w:pStyle w:val="150"/>
              <w:rPr>
                <w:sz w:val="18"/>
                <w:szCs w:val="18"/>
              </w:rPr>
            </w:pPr>
            <w:r>
              <w:rPr>
                <w:sz w:val="18"/>
                <w:szCs w:val="18"/>
              </w:rPr>
              <w:t>800</w:t>
            </w:r>
          </w:p>
        </w:tc>
      </w:tr>
      <w:tr w14:paraId="3636BE04">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54E42DF3">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50C3A356">
            <w:pPr>
              <w:pStyle w:val="150"/>
              <w:jc w:val="left"/>
              <w:rPr>
                <w:sz w:val="18"/>
                <w:szCs w:val="18"/>
              </w:rPr>
            </w:pPr>
            <w:r>
              <w:rPr>
                <w:sz w:val="18"/>
                <w:szCs w:val="18"/>
              </w:rPr>
              <w:t>OŠ – očuvanje zdravlja</w:t>
            </w:r>
          </w:p>
        </w:tc>
        <w:tc>
          <w:tcPr>
            <w:tcW w:w="750" w:type="pct"/>
            <w:tcBorders>
              <w:top w:val="single" w:color="auto" w:sz="4" w:space="0"/>
              <w:left w:val="nil"/>
              <w:bottom w:val="single" w:color="auto" w:sz="4" w:space="0"/>
              <w:right w:val="single" w:color="auto" w:sz="4" w:space="0"/>
            </w:tcBorders>
            <w:noWrap/>
            <w:vAlign w:val="center"/>
          </w:tcPr>
          <w:p w14:paraId="7C5DEED5">
            <w:pPr>
              <w:pStyle w:val="150"/>
              <w:rPr>
                <w:sz w:val="18"/>
                <w:szCs w:val="18"/>
              </w:rPr>
            </w:pPr>
            <w:r>
              <w:rPr>
                <w:sz w:val="18"/>
              </w:rPr>
              <w:t>732</w:t>
            </w:r>
          </w:p>
        </w:tc>
        <w:tc>
          <w:tcPr>
            <w:tcW w:w="655" w:type="pct"/>
            <w:tcBorders>
              <w:top w:val="single" w:color="auto" w:sz="4" w:space="0"/>
              <w:left w:val="nil"/>
              <w:bottom w:val="single" w:color="auto" w:sz="4" w:space="0"/>
              <w:right w:val="single" w:color="auto" w:sz="4" w:space="0"/>
            </w:tcBorders>
            <w:noWrap/>
            <w:vAlign w:val="center"/>
          </w:tcPr>
          <w:p w14:paraId="3AA0645B">
            <w:pPr>
              <w:pStyle w:val="150"/>
              <w:rPr>
                <w:sz w:val="18"/>
                <w:szCs w:val="18"/>
              </w:rPr>
            </w:pPr>
            <w:r>
              <w:rPr>
                <w:sz w:val="18"/>
              </w:rPr>
              <w:t>750</w:t>
            </w:r>
          </w:p>
        </w:tc>
      </w:tr>
      <w:tr w14:paraId="5B74CF67">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6D2479D0">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2B622304">
            <w:pPr>
              <w:pStyle w:val="150"/>
              <w:jc w:val="left"/>
              <w:rPr>
                <w:sz w:val="18"/>
                <w:szCs w:val="18"/>
              </w:rPr>
            </w:pPr>
            <w:r>
              <w:rPr>
                <w:sz w:val="18"/>
                <w:szCs w:val="18"/>
              </w:rPr>
              <w:t>OŠ – zanimanje</w:t>
            </w:r>
          </w:p>
        </w:tc>
        <w:tc>
          <w:tcPr>
            <w:tcW w:w="750" w:type="pct"/>
            <w:tcBorders>
              <w:top w:val="single" w:color="auto" w:sz="4" w:space="0"/>
              <w:left w:val="nil"/>
              <w:bottom w:val="single" w:color="auto" w:sz="4" w:space="0"/>
              <w:right w:val="single" w:color="auto" w:sz="4" w:space="0"/>
            </w:tcBorders>
            <w:noWrap/>
            <w:vAlign w:val="center"/>
          </w:tcPr>
          <w:p w14:paraId="6EE60D11">
            <w:pPr>
              <w:pStyle w:val="150"/>
              <w:rPr>
                <w:sz w:val="18"/>
                <w:szCs w:val="18"/>
              </w:rPr>
            </w:pPr>
            <w:r>
              <w:rPr>
                <w:sz w:val="18"/>
              </w:rPr>
              <w:t>566</w:t>
            </w:r>
          </w:p>
        </w:tc>
        <w:tc>
          <w:tcPr>
            <w:tcW w:w="655" w:type="pct"/>
            <w:tcBorders>
              <w:top w:val="single" w:color="auto" w:sz="4" w:space="0"/>
              <w:left w:val="nil"/>
              <w:bottom w:val="single" w:color="auto" w:sz="4" w:space="0"/>
              <w:right w:val="single" w:color="auto" w:sz="4" w:space="0"/>
            </w:tcBorders>
            <w:noWrap/>
            <w:vAlign w:val="center"/>
          </w:tcPr>
          <w:p w14:paraId="0A90435C">
            <w:pPr>
              <w:pStyle w:val="150"/>
              <w:rPr>
                <w:sz w:val="18"/>
                <w:szCs w:val="18"/>
              </w:rPr>
            </w:pPr>
            <w:r>
              <w:rPr>
                <w:sz w:val="18"/>
              </w:rPr>
              <w:t>750</w:t>
            </w:r>
          </w:p>
        </w:tc>
      </w:tr>
      <w:tr w14:paraId="487D5A8C">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2B4577FD">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2318E906">
            <w:pPr>
              <w:pStyle w:val="150"/>
              <w:jc w:val="left"/>
              <w:rPr>
                <w:sz w:val="18"/>
                <w:szCs w:val="18"/>
              </w:rPr>
            </w:pPr>
            <w:r>
              <w:rPr>
                <w:sz w:val="18"/>
                <w:szCs w:val="18"/>
              </w:rPr>
              <w:t>SŠ – problemi učenja</w:t>
            </w:r>
          </w:p>
        </w:tc>
        <w:tc>
          <w:tcPr>
            <w:tcW w:w="750" w:type="pct"/>
            <w:tcBorders>
              <w:top w:val="single" w:color="auto" w:sz="4" w:space="0"/>
              <w:left w:val="nil"/>
              <w:bottom w:val="single" w:color="auto" w:sz="4" w:space="0"/>
              <w:right w:val="single" w:color="auto" w:sz="4" w:space="0"/>
            </w:tcBorders>
            <w:noWrap/>
            <w:vAlign w:val="center"/>
          </w:tcPr>
          <w:p w14:paraId="0DB042EE">
            <w:pPr>
              <w:pStyle w:val="150"/>
              <w:rPr>
                <w:sz w:val="18"/>
                <w:szCs w:val="18"/>
              </w:rPr>
            </w:pPr>
            <w:r>
              <w:rPr>
                <w:sz w:val="18"/>
              </w:rPr>
              <w:t>142</w:t>
            </w:r>
          </w:p>
        </w:tc>
        <w:tc>
          <w:tcPr>
            <w:tcW w:w="655" w:type="pct"/>
            <w:tcBorders>
              <w:top w:val="single" w:color="auto" w:sz="4" w:space="0"/>
              <w:left w:val="nil"/>
              <w:bottom w:val="single" w:color="auto" w:sz="4" w:space="0"/>
              <w:right w:val="single" w:color="auto" w:sz="4" w:space="0"/>
            </w:tcBorders>
            <w:noWrap/>
            <w:vAlign w:val="center"/>
          </w:tcPr>
          <w:p w14:paraId="3E045D55">
            <w:pPr>
              <w:pStyle w:val="150"/>
              <w:rPr>
                <w:sz w:val="18"/>
                <w:szCs w:val="18"/>
              </w:rPr>
            </w:pPr>
            <w:r>
              <w:rPr>
                <w:sz w:val="18"/>
              </w:rPr>
              <w:t>150</w:t>
            </w:r>
          </w:p>
        </w:tc>
      </w:tr>
      <w:tr w14:paraId="4F38A9CE">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0C079071">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93D01E4">
            <w:pPr>
              <w:pStyle w:val="150"/>
              <w:jc w:val="left"/>
              <w:rPr>
                <w:sz w:val="18"/>
                <w:szCs w:val="18"/>
              </w:rPr>
            </w:pPr>
            <w:r>
              <w:rPr>
                <w:sz w:val="18"/>
                <w:szCs w:val="18"/>
              </w:rPr>
              <w:t>SŠ – mentalno zdravlje</w:t>
            </w:r>
          </w:p>
        </w:tc>
        <w:tc>
          <w:tcPr>
            <w:tcW w:w="750" w:type="pct"/>
            <w:tcBorders>
              <w:top w:val="single" w:color="auto" w:sz="4" w:space="0"/>
              <w:left w:val="nil"/>
              <w:bottom w:val="single" w:color="auto" w:sz="4" w:space="0"/>
              <w:right w:val="single" w:color="auto" w:sz="4" w:space="0"/>
            </w:tcBorders>
            <w:noWrap/>
            <w:vAlign w:val="center"/>
          </w:tcPr>
          <w:p w14:paraId="547E3C34">
            <w:pPr>
              <w:pStyle w:val="150"/>
              <w:rPr>
                <w:sz w:val="18"/>
                <w:szCs w:val="18"/>
              </w:rPr>
            </w:pPr>
            <w:r>
              <w:rPr>
                <w:sz w:val="18"/>
              </w:rPr>
              <w:t>310</w:t>
            </w:r>
          </w:p>
        </w:tc>
        <w:tc>
          <w:tcPr>
            <w:tcW w:w="655" w:type="pct"/>
            <w:tcBorders>
              <w:top w:val="single" w:color="auto" w:sz="4" w:space="0"/>
              <w:left w:val="nil"/>
              <w:bottom w:val="single" w:color="auto" w:sz="4" w:space="0"/>
              <w:right w:val="single" w:color="auto" w:sz="4" w:space="0"/>
            </w:tcBorders>
            <w:noWrap/>
            <w:vAlign w:val="center"/>
          </w:tcPr>
          <w:p w14:paraId="09D86F76">
            <w:pPr>
              <w:pStyle w:val="150"/>
              <w:rPr>
                <w:sz w:val="18"/>
                <w:szCs w:val="18"/>
              </w:rPr>
            </w:pPr>
            <w:r>
              <w:rPr>
                <w:sz w:val="18"/>
              </w:rPr>
              <w:t>450</w:t>
            </w:r>
          </w:p>
        </w:tc>
      </w:tr>
      <w:tr w14:paraId="665437E1">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4BD7168E">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58933CF">
            <w:pPr>
              <w:pStyle w:val="150"/>
              <w:jc w:val="left"/>
              <w:rPr>
                <w:sz w:val="18"/>
                <w:szCs w:val="18"/>
              </w:rPr>
            </w:pPr>
            <w:r>
              <w:rPr>
                <w:sz w:val="18"/>
                <w:szCs w:val="18"/>
              </w:rPr>
              <w:t>SŠ – reproduktivno zdravlje</w:t>
            </w:r>
          </w:p>
        </w:tc>
        <w:tc>
          <w:tcPr>
            <w:tcW w:w="750" w:type="pct"/>
            <w:tcBorders>
              <w:top w:val="single" w:color="auto" w:sz="4" w:space="0"/>
              <w:left w:val="nil"/>
              <w:bottom w:val="single" w:color="auto" w:sz="4" w:space="0"/>
              <w:right w:val="single" w:color="auto" w:sz="4" w:space="0"/>
            </w:tcBorders>
            <w:noWrap/>
            <w:vAlign w:val="center"/>
          </w:tcPr>
          <w:p w14:paraId="4B954718">
            <w:pPr>
              <w:pStyle w:val="150"/>
              <w:rPr>
                <w:sz w:val="18"/>
                <w:szCs w:val="18"/>
              </w:rPr>
            </w:pPr>
            <w:r>
              <w:rPr>
                <w:sz w:val="18"/>
              </w:rPr>
              <w:t>99</w:t>
            </w:r>
          </w:p>
        </w:tc>
        <w:tc>
          <w:tcPr>
            <w:tcW w:w="655" w:type="pct"/>
            <w:tcBorders>
              <w:top w:val="single" w:color="auto" w:sz="4" w:space="0"/>
              <w:left w:val="nil"/>
              <w:bottom w:val="single" w:color="auto" w:sz="4" w:space="0"/>
              <w:right w:val="single" w:color="auto" w:sz="4" w:space="0"/>
            </w:tcBorders>
            <w:noWrap/>
            <w:vAlign w:val="center"/>
          </w:tcPr>
          <w:p w14:paraId="38D534B8">
            <w:pPr>
              <w:pStyle w:val="150"/>
              <w:rPr>
                <w:sz w:val="18"/>
                <w:szCs w:val="18"/>
              </w:rPr>
            </w:pPr>
            <w:r>
              <w:rPr>
                <w:sz w:val="18"/>
              </w:rPr>
              <w:t>150</w:t>
            </w:r>
          </w:p>
        </w:tc>
      </w:tr>
      <w:tr w14:paraId="2E6788DB">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47F0A60E">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761F2F77">
            <w:pPr>
              <w:pStyle w:val="150"/>
              <w:jc w:val="left"/>
              <w:rPr>
                <w:sz w:val="18"/>
                <w:szCs w:val="18"/>
              </w:rPr>
            </w:pPr>
            <w:r>
              <w:rPr>
                <w:sz w:val="18"/>
                <w:szCs w:val="18"/>
              </w:rPr>
              <w:t>SŠ – kroničari</w:t>
            </w:r>
          </w:p>
        </w:tc>
        <w:tc>
          <w:tcPr>
            <w:tcW w:w="750" w:type="pct"/>
            <w:tcBorders>
              <w:top w:val="single" w:color="auto" w:sz="4" w:space="0"/>
              <w:left w:val="nil"/>
              <w:bottom w:val="single" w:color="auto" w:sz="4" w:space="0"/>
              <w:right w:val="single" w:color="auto" w:sz="4" w:space="0"/>
            </w:tcBorders>
            <w:noWrap/>
            <w:vAlign w:val="center"/>
          </w:tcPr>
          <w:p w14:paraId="256CD3E8">
            <w:pPr>
              <w:pStyle w:val="150"/>
              <w:rPr>
                <w:sz w:val="18"/>
                <w:szCs w:val="18"/>
              </w:rPr>
            </w:pPr>
            <w:r>
              <w:rPr>
                <w:sz w:val="18"/>
              </w:rPr>
              <w:t>152</w:t>
            </w:r>
          </w:p>
        </w:tc>
        <w:tc>
          <w:tcPr>
            <w:tcW w:w="655" w:type="pct"/>
            <w:tcBorders>
              <w:top w:val="single" w:color="auto" w:sz="4" w:space="0"/>
              <w:left w:val="nil"/>
              <w:bottom w:val="single" w:color="auto" w:sz="4" w:space="0"/>
              <w:right w:val="single" w:color="auto" w:sz="4" w:space="0"/>
            </w:tcBorders>
            <w:noWrap/>
            <w:vAlign w:val="center"/>
          </w:tcPr>
          <w:p w14:paraId="5B0A1F81">
            <w:pPr>
              <w:pStyle w:val="150"/>
              <w:rPr>
                <w:sz w:val="18"/>
                <w:szCs w:val="18"/>
              </w:rPr>
            </w:pPr>
            <w:r>
              <w:rPr>
                <w:sz w:val="18"/>
              </w:rPr>
              <w:t>400</w:t>
            </w:r>
          </w:p>
        </w:tc>
      </w:tr>
      <w:tr w14:paraId="2A672ABD">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54FA101A">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848876B">
            <w:pPr>
              <w:pStyle w:val="150"/>
              <w:jc w:val="left"/>
              <w:rPr>
                <w:sz w:val="18"/>
                <w:szCs w:val="18"/>
              </w:rPr>
            </w:pPr>
            <w:r>
              <w:rPr>
                <w:sz w:val="18"/>
                <w:szCs w:val="18"/>
              </w:rPr>
              <w:t>SŠ – očuvanje zdravlja</w:t>
            </w:r>
          </w:p>
        </w:tc>
        <w:tc>
          <w:tcPr>
            <w:tcW w:w="750" w:type="pct"/>
            <w:tcBorders>
              <w:top w:val="single" w:color="auto" w:sz="4" w:space="0"/>
              <w:left w:val="nil"/>
              <w:bottom w:val="single" w:color="auto" w:sz="4" w:space="0"/>
              <w:right w:val="single" w:color="auto" w:sz="4" w:space="0"/>
            </w:tcBorders>
            <w:noWrap/>
            <w:vAlign w:val="center"/>
          </w:tcPr>
          <w:p w14:paraId="317FE2C6">
            <w:pPr>
              <w:pStyle w:val="150"/>
              <w:rPr>
                <w:sz w:val="18"/>
                <w:szCs w:val="18"/>
              </w:rPr>
            </w:pPr>
            <w:r>
              <w:rPr>
                <w:sz w:val="18"/>
              </w:rPr>
              <w:t>205</w:t>
            </w:r>
          </w:p>
        </w:tc>
        <w:tc>
          <w:tcPr>
            <w:tcW w:w="655" w:type="pct"/>
            <w:tcBorders>
              <w:top w:val="single" w:color="auto" w:sz="4" w:space="0"/>
              <w:left w:val="nil"/>
              <w:bottom w:val="single" w:color="auto" w:sz="4" w:space="0"/>
              <w:right w:val="single" w:color="auto" w:sz="4" w:space="0"/>
            </w:tcBorders>
            <w:noWrap/>
            <w:vAlign w:val="center"/>
          </w:tcPr>
          <w:p w14:paraId="122B83AC">
            <w:pPr>
              <w:pStyle w:val="150"/>
              <w:rPr>
                <w:sz w:val="18"/>
                <w:szCs w:val="18"/>
              </w:rPr>
            </w:pPr>
            <w:r>
              <w:rPr>
                <w:sz w:val="18"/>
              </w:rPr>
              <w:t>250</w:t>
            </w:r>
          </w:p>
        </w:tc>
      </w:tr>
      <w:tr w14:paraId="15D93891">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52DF528D">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5C6EC669">
            <w:pPr>
              <w:pStyle w:val="150"/>
              <w:jc w:val="left"/>
              <w:rPr>
                <w:sz w:val="18"/>
                <w:szCs w:val="18"/>
              </w:rPr>
            </w:pPr>
            <w:r>
              <w:rPr>
                <w:sz w:val="18"/>
                <w:szCs w:val="18"/>
              </w:rPr>
              <w:t>SŠ – zanimanje</w:t>
            </w:r>
          </w:p>
        </w:tc>
        <w:tc>
          <w:tcPr>
            <w:tcW w:w="750" w:type="pct"/>
            <w:tcBorders>
              <w:top w:val="single" w:color="auto" w:sz="4" w:space="0"/>
              <w:left w:val="nil"/>
              <w:bottom w:val="single" w:color="auto" w:sz="4" w:space="0"/>
              <w:right w:val="single" w:color="auto" w:sz="4" w:space="0"/>
            </w:tcBorders>
            <w:noWrap/>
            <w:vAlign w:val="center"/>
          </w:tcPr>
          <w:p w14:paraId="20BE8629">
            <w:pPr>
              <w:pStyle w:val="150"/>
              <w:rPr>
                <w:sz w:val="18"/>
                <w:szCs w:val="18"/>
              </w:rPr>
            </w:pPr>
            <w:r>
              <w:rPr>
                <w:sz w:val="18"/>
              </w:rPr>
              <w:t>83</w:t>
            </w:r>
          </w:p>
        </w:tc>
        <w:tc>
          <w:tcPr>
            <w:tcW w:w="655" w:type="pct"/>
            <w:tcBorders>
              <w:top w:val="single" w:color="auto" w:sz="4" w:space="0"/>
              <w:left w:val="nil"/>
              <w:bottom w:val="single" w:color="auto" w:sz="4" w:space="0"/>
              <w:right w:val="single" w:color="auto" w:sz="4" w:space="0"/>
            </w:tcBorders>
            <w:noWrap/>
            <w:vAlign w:val="center"/>
          </w:tcPr>
          <w:p w14:paraId="482D8878">
            <w:pPr>
              <w:pStyle w:val="150"/>
              <w:rPr>
                <w:sz w:val="18"/>
                <w:szCs w:val="18"/>
              </w:rPr>
            </w:pPr>
            <w:r>
              <w:rPr>
                <w:sz w:val="18"/>
              </w:rPr>
              <w:t>100</w:t>
            </w:r>
          </w:p>
        </w:tc>
      </w:tr>
      <w:tr w14:paraId="2F125C00">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495BC567">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60B0D922">
            <w:pPr>
              <w:pStyle w:val="150"/>
              <w:jc w:val="left"/>
              <w:rPr>
                <w:sz w:val="18"/>
                <w:szCs w:val="18"/>
              </w:rPr>
            </w:pPr>
            <w:r>
              <w:rPr>
                <w:sz w:val="18"/>
                <w:szCs w:val="18"/>
              </w:rPr>
              <w:t>Studenti – problemi učenja</w:t>
            </w:r>
          </w:p>
        </w:tc>
        <w:tc>
          <w:tcPr>
            <w:tcW w:w="750" w:type="pct"/>
            <w:tcBorders>
              <w:top w:val="single" w:color="auto" w:sz="4" w:space="0"/>
              <w:left w:val="nil"/>
              <w:bottom w:val="single" w:color="auto" w:sz="4" w:space="0"/>
              <w:right w:val="single" w:color="auto" w:sz="4" w:space="0"/>
            </w:tcBorders>
            <w:noWrap/>
            <w:vAlign w:val="center"/>
          </w:tcPr>
          <w:p w14:paraId="7B86C996">
            <w:pPr>
              <w:pStyle w:val="150"/>
              <w:rPr>
                <w:sz w:val="18"/>
                <w:szCs w:val="18"/>
              </w:rPr>
            </w:pPr>
            <w:r>
              <w:rPr>
                <w:sz w:val="18"/>
              </w:rPr>
              <w:t>78</w:t>
            </w:r>
          </w:p>
        </w:tc>
        <w:tc>
          <w:tcPr>
            <w:tcW w:w="655" w:type="pct"/>
            <w:tcBorders>
              <w:top w:val="single" w:color="auto" w:sz="4" w:space="0"/>
              <w:left w:val="nil"/>
              <w:bottom w:val="single" w:color="auto" w:sz="4" w:space="0"/>
              <w:right w:val="single" w:color="auto" w:sz="4" w:space="0"/>
            </w:tcBorders>
            <w:noWrap/>
            <w:vAlign w:val="center"/>
          </w:tcPr>
          <w:p w14:paraId="7CF07055">
            <w:pPr>
              <w:pStyle w:val="150"/>
              <w:rPr>
                <w:sz w:val="18"/>
                <w:szCs w:val="18"/>
              </w:rPr>
            </w:pPr>
            <w:r>
              <w:rPr>
                <w:sz w:val="18"/>
              </w:rPr>
              <w:t>200</w:t>
            </w:r>
          </w:p>
        </w:tc>
      </w:tr>
      <w:tr w14:paraId="5AE951CC">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6E602DDC">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7ACC4429">
            <w:pPr>
              <w:pStyle w:val="150"/>
              <w:jc w:val="left"/>
              <w:rPr>
                <w:sz w:val="18"/>
                <w:szCs w:val="18"/>
              </w:rPr>
            </w:pPr>
            <w:r>
              <w:rPr>
                <w:sz w:val="18"/>
                <w:szCs w:val="18"/>
              </w:rPr>
              <w:t>Studenti – mentalno zdravlje</w:t>
            </w:r>
          </w:p>
        </w:tc>
        <w:tc>
          <w:tcPr>
            <w:tcW w:w="750" w:type="pct"/>
            <w:tcBorders>
              <w:top w:val="single" w:color="auto" w:sz="4" w:space="0"/>
              <w:left w:val="nil"/>
              <w:bottom w:val="single" w:color="auto" w:sz="4" w:space="0"/>
              <w:right w:val="single" w:color="auto" w:sz="4" w:space="0"/>
            </w:tcBorders>
            <w:noWrap/>
            <w:vAlign w:val="center"/>
          </w:tcPr>
          <w:p w14:paraId="095FC0D3">
            <w:pPr>
              <w:pStyle w:val="150"/>
              <w:rPr>
                <w:sz w:val="18"/>
                <w:szCs w:val="18"/>
              </w:rPr>
            </w:pPr>
            <w:r>
              <w:rPr>
                <w:sz w:val="18"/>
              </w:rPr>
              <w:t>220</w:t>
            </w:r>
          </w:p>
        </w:tc>
        <w:tc>
          <w:tcPr>
            <w:tcW w:w="655" w:type="pct"/>
            <w:tcBorders>
              <w:top w:val="single" w:color="auto" w:sz="4" w:space="0"/>
              <w:left w:val="nil"/>
              <w:bottom w:val="single" w:color="auto" w:sz="4" w:space="0"/>
              <w:right w:val="single" w:color="auto" w:sz="4" w:space="0"/>
            </w:tcBorders>
            <w:noWrap/>
            <w:vAlign w:val="center"/>
          </w:tcPr>
          <w:p w14:paraId="39750FBB">
            <w:pPr>
              <w:pStyle w:val="150"/>
              <w:rPr>
                <w:sz w:val="18"/>
                <w:szCs w:val="18"/>
              </w:rPr>
            </w:pPr>
            <w:r>
              <w:rPr>
                <w:sz w:val="18"/>
              </w:rPr>
              <w:t>500</w:t>
            </w:r>
          </w:p>
        </w:tc>
      </w:tr>
      <w:tr w14:paraId="3B8C7866">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43F3E948">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7F4957C1">
            <w:pPr>
              <w:pStyle w:val="150"/>
              <w:jc w:val="left"/>
              <w:rPr>
                <w:sz w:val="18"/>
                <w:szCs w:val="18"/>
              </w:rPr>
            </w:pPr>
            <w:r>
              <w:rPr>
                <w:sz w:val="18"/>
                <w:szCs w:val="18"/>
              </w:rPr>
              <w:t>Studenti – reproduktivno zdravlje</w:t>
            </w:r>
          </w:p>
        </w:tc>
        <w:tc>
          <w:tcPr>
            <w:tcW w:w="750" w:type="pct"/>
            <w:tcBorders>
              <w:top w:val="single" w:color="auto" w:sz="4" w:space="0"/>
              <w:left w:val="nil"/>
              <w:bottom w:val="single" w:color="auto" w:sz="4" w:space="0"/>
              <w:right w:val="single" w:color="auto" w:sz="4" w:space="0"/>
            </w:tcBorders>
            <w:noWrap/>
            <w:vAlign w:val="center"/>
          </w:tcPr>
          <w:p w14:paraId="3BB876D5">
            <w:pPr>
              <w:pStyle w:val="150"/>
              <w:rPr>
                <w:sz w:val="18"/>
                <w:szCs w:val="18"/>
              </w:rPr>
            </w:pPr>
            <w:r>
              <w:rPr>
                <w:sz w:val="18"/>
              </w:rPr>
              <w:t>162</w:t>
            </w:r>
          </w:p>
        </w:tc>
        <w:tc>
          <w:tcPr>
            <w:tcW w:w="655" w:type="pct"/>
            <w:tcBorders>
              <w:top w:val="single" w:color="auto" w:sz="4" w:space="0"/>
              <w:left w:val="nil"/>
              <w:bottom w:val="single" w:color="auto" w:sz="4" w:space="0"/>
              <w:right w:val="single" w:color="auto" w:sz="4" w:space="0"/>
            </w:tcBorders>
            <w:noWrap/>
            <w:vAlign w:val="center"/>
          </w:tcPr>
          <w:p w14:paraId="2EB39CA0">
            <w:pPr>
              <w:pStyle w:val="150"/>
              <w:rPr>
                <w:sz w:val="18"/>
                <w:szCs w:val="18"/>
              </w:rPr>
            </w:pPr>
            <w:r>
              <w:rPr>
                <w:sz w:val="18"/>
              </w:rPr>
              <w:t>500</w:t>
            </w:r>
          </w:p>
        </w:tc>
      </w:tr>
      <w:tr w14:paraId="4CF16B1F">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16F3A578">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C1F99DA">
            <w:pPr>
              <w:pStyle w:val="150"/>
              <w:jc w:val="left"/>
              <w:rPr>
                <w:sz w:val="18"/>
                <w:szCs w:val="18"/>
              </w:rPr>
            </w:pPr>
            <w:r>
              <w:rPr>
                <w:sz w:val="18"/>
                <w:szCs w:val="18"/>
              </w:rPr>
              <w:t>Studenti – kroničari</w:t>
            </w:r>
          </w:p>
        </w:tc>
        <w:tc>
          <w:tcPr>
            <w:tcW w:w="750" w:type="pct"/>
            <w:tcBorders>
              <w:top w:val="single" w:color="auto" w:sz="4" w:space="0"/>
              <w:left w:val="nil"/>
              <w:bottom w:val="single" w:color="auto" w:sz="4" w:space="0"/>
              <w:right w:val="single" w:color="auto" w:sz="4" w:space="0"/>
            </w:tcBorders>
            <w:noWrap/>
            <w:vAlign w:val="center"/>
          </w:tcPr>
          <w:p w14:paraId="035E0EF3">
            <w:pPr>
              <w:pStyle w:val="150"/>
              <w:rPr>
                <w:sz w:val="18"/>
                <w:szCs w:val="18"/>
              </w:rPr>
            </w:pPr>
            <w:r>
              <w:rPr>
                <w:sz w:val="18"/>
              </w:rPr>
              <w:t>149</w:t>
            </w:r>
          </w:p>
        </w:tc>
        <w:tc>
          <w:tcPr>
            <w:tcW w:w="655" w:type="pct"/>
            <w:tcBorders>
              <w:top w:val="single" w:color="auto" w:sz="4" w:space="0"/>
              <w:left w:val="nil"/>
              <w:bottom w:val="single" w:color="auto" w:sz="4" w:space="0"/>
              <w:right w:val="single" w:color="auto" w:sz="4" w:space="0"/>
            </w:tcBorders>
            <w:noWrap/>
            <w:vAlign w:val="center"/>
          </w:tcPr>
          <w:p w14:paraId="4A703015">
            <w:pPr>
              <w:pStyle w:val="150"/>
              <w:rPr>
                <w:sz w:val="18"/>
                <w:szCs w:val="18"/>
              </w:rPr>
            </w:pPr>
            <w:r>
              <w:rPr>
                <w:sz w:val="18"/>
              </w:rPr>
              <w:t>400</w:t>
            </w:r>
          </w:p>
        </w:tc>
      </w:tr>
      <w:tr w14:paraId="3B211E87">
        <w:tblPrEx>
          <w:tblCellMar>
            <w:top w:w="0" w:type="dxa"/>
            <w:left w:w="108" w:type="dxa"/>
            <w:bottom w:w="0" w:type="dxa"/>
            <w:right w:w="108" w:type="dxa"/>
          </w:tblCellMar>
        </w:tblPrEx>
        <w:trPr>
          <w:trHeight w:val="369" w:hRule="atLeast"/>
        </w:trPr>
        <w:tc>
          <w:tcPr>
            <w:tcW w:w="1092" w:type="pct"/>
            <w:vMerge w:val="continue"/>
            <w:tcBorders>
              <w:top w:val="single" w:color="auto" w:sz="4" w:space="0"/>
              <w:left w:val="single" w:color="auto" w:sz="4" w:space="0"/>
              <w:bottom w:val="single" w:color="auto" w:sz="4" w:space="0"/>
              <w:right w:val="single" w:color="auto" w:sz="4" w:space="0"/>
            </w:tcBorders>
            <w:vAlign w:val="center"/>
          </w:tcPr>
          <w:p w14:paraId="64A767C4">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544AC70">
            <w:pPr>
              <w:pStyle w:val="150"/>
              <w:jc w:val="left"/>
              <w:rPr>
                <w:sz w:val="18"/>
                <w:szCs w:val="18"/>
              </w:rPr>
            </w:pPr>
            <w:r>
              <w:rPr>
                <w:sz w:val="18"/>
                <w:szCs w:val="18"/>
              </w:rPr>
              <w:t>Studenti – očuvanje zdravlja</w:t>
            </w:r>
          </w:p>
        </w:tc>
        <w:tc>
          <w:tcPr>
            <w:tcW w:w="750" w:type="pct"/>
            <w:tcBorders>
              <w:top w:val="single" w:color="auto" w:sz="4" w:space="0"/>
              <w:left w:val="nil"/>
              <w:bottom w:val="single" w:color="auto" w:sz="4" w:space="0"/>
              <w:right w:val="single" w:color="auto" w:sz="4" w:space="0"/>
            </w:tcBorders>
            <w:noWrap/>
            <w:vAlign w:val="center"/>
          </w:tcPr>
          <w:p w14:paraId="3697FD2F">
            <w:pPr>
              <w:pStyle w:val="150"/>
              <w:rPr>
                <w:sz w:val="18"/>
                <w:szCs w:val="18"/>
              </w:rPr>
            </w:pPr>
            <w:r>
              <w:rPr>
                <w:sz w:val="18"/>
              </w:rPr>
              <w:t>137</w:t>
            </w:r>
          </w:p>
        </w:tc>
        <w:tc>
          <w:tcPr>
            <w:tcW w:w="655" w:type="pct"/>
            <w:tcBorders>
              <w:top w:val="single" w:color="auto" w:sz="4" w:space="0"/>
              <w:left w:val="nil"/>
              <w:bottom w:val="single" w:color="auto" w:sz="4" w:space="0"/>
              <w:right w:val="single" w:color="auto" w:sz="4" w:space="0"/>
            </w:tcBorders>
            <w:noWrap/>
            <w:vAlign w:val="center"/>
          </w:tcPr>
          <w:p w14:paraId="7FD8CC43">
            <w:pPr>
              <w:pStyle w:val="150"/>
              <w:rPr>
                <w:sz w:val="18"/>
                <w:szCs w:val="18"/>
              </w:rPr>
            </w:pPr>
            <w:r>
              <w:rPr>
                <w:sz w:val="18"/>
              </w:rPr>
              <w:t>200</w:t>
            </w:r>
          </w:p>
        </w:tc>
      </w:tr>
      <w:tr w14:paraId="2FCFFCD0">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right w:val="single" w:color="auto" w:sz="4" w:space="0"/>
            </w:tcBorders>
            <w:vAlign w:val="center"/>
          </w:tcPr>
          <w:p w14:paraId="009CE203">
            <w:pPr>
              <w:pStyle w:val="150"/>
              <w:jc w:val="left"/>
              <w:rPr>
                <w:sz w:val="18"/>
                <w:szCs w:val="18"/>
              </w:rPr>
            </w:pPr>
            <w:r>
              <w:rPr>
                <w:sz w:val="18"/>
                <w:szCs w:val="18"/>
              </w:rPr>
              <w:t>Savjetovanje i konzultacije</w:t>
            </w:r>
          </w:p>
        </w:tc>
        <w:tc>
          <w:tcPr>
            <w:tcW w:w="2503" w:type="pct"/>
            <w:tcBorders>
              <w:top w:val="single" w:color="auto" w:sz="4" w:space="0"/>
              <w:left w:val="nil"/>
              <w:bottom w:val="single" w:color="auto" w:sz="4" w:space="0"/>
              <w:right w:val="single" w:color="auto" w:sz="4" w:space="0"/>
            </w:tcBorders>
            <w:vAlign w:val="center"/>
          </w:tcPr>
          <w:p w14:paraId="1D972CB6">
            <w:pPr>
              <w:pStyle w:val="150"/>
              <w:jc w:val="left"/>
              <w:rPr>
                <w:sz w:val="18"/>
                <w:szCs w:val="18"/>
              </w:rPr>
            </w:pPr>
            <w:r>
              <w:rPr>
                <w:sz w:val="18"/>
                <w:szCs w:val="18"/>
              </w:rPr>
              <w:t>Savjetovanje roditelja/staratelja/obitelji</w:t>
            </w:r>
          </w:p>
        </w:tc>
        <w:tc>
          <w:tcPr>
            <w:tcW w:w="750" w:type="pct"/>
            <w:tcBorders>
              <w:top w:val="single" w:color="auto" w:sz="4" w:space="0"/>
              <w:left w:val="nil"/>
              <w:bottom w:val="single" w:color="auto" w:sz="4" w:space="0"/>
              <w:right w:val="single" w:color="auto" w:sz="4" w:space="0"/>
            </w:tcBorders>
            <w:noWrap/>
            <w:vAlign w:val="center"/>
          </w:tcPr>
          <w:p w14:paraId="4B9B0E9F">
            <w:pPr>
              <w:pStyle w:val="150"/>
              <w:rPr>
                <w:sz w:val="18"/>
                <w:szCs w:val="18"/>
              </w:rPr>
            </w:pPr>
            <w:r>
              <w:rPr>
                <w:sz w:val="18"/>
              </w:rPr>
              <w:t>3.200</w:t>
            </w:r>
          </w:p>
        </w:tc>
        <w:tc>
          <w:tcPr>
            <w:tcW w:w="655" w:type="pct"/>
            <w:tcBorders>
              <w:top w:val="single" w:color="auto" w:sz="4" w:space="0"/>
              <w:left w:val="nil"/>
              <w:bottom w:val="single" w:color="auto" w:sz="4" w:space="0"/>
              <w:right w:val="single" w:color="auto" w:sz="4" w:space="0"/>
            </w:tcBorders>
            <w:noWrap/>
            <w:vAlign w:val="center"/>
          </w:tcPr>
          <w:p w14:paraId="168CBA33">
            <w:pPr>
              <w:pStyle w:val="150"/>
              <w:rPr>
                <w:sz w:val="18"/>
                <w:szCs w:val="18"/>
              </w:rPr>
            </w:pPr>
            <w:r>
              <w:rPr>
                <w:sz w:val="18"/>
              </w:rPr>
              <w:t>4.500</w:t>
            </w:r>
          </w:p>
        </w:tc>
      </w:tr>
      <w:tr w14:paraId="1AA1ED73">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59227993">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A9ED738">
            <w:pPr>
              <w:pStyle w:val="150"/>
              <w:jc w:val="left"/>
              <w:rPr>
                <w:sz w:val="18"/>
                <w:szCs w:val="18"/>
              </w:rPr>
            </w:pPr>
            <w:r>
              <w:rPr>
                <w:sz w:val="18"/>
                <w:szCs w:val="18"/>
              </w:rPr>
              <w:t>Savjetovanje stručnih suradnika i nastavnika</w:t>
            </w:r>
          </w:p>
        </w:tc>
        <w:tc>
          <w:tcPr>
            <w:tcW w:w="750" w:type="pct"/>
            <w:tcBorders>
              <w:top w:val="single" w:color="auto" w:sz="4" w:space="0"/>
              <w:left w:val="nil"/>
              <w:bottom w:val="single" w:color="auto" w:sz="4" w:space="0"/>
              <w:right w:val="single" w:color="auto" w:sz="4" w:space="0"/>
            </w:tcBorders>
            <w:noWrap/>
            <w:vAlign w:val="center"/>
          </w:tcPr>
          <w:p w14:paraId="5AB33883">
            <w:pPr>
              <w:pStyle w:val="150"/>
              <w:rPr>
                <w:sz w:val="18"/>
                <w:szCs w:val="18"/>
              </w:rPr>
            </w:pPr>
            <w:r>
              <w:rPr>
                <w:sz w:val="18"/>
              </w:rPr>
              <w:t>3.105</w:t>
            </w:r>
          </w:p>
        </w:tc>
        <w:tc>
          <w:tcPr>
            <w:tcW w:w="655" w:type="pct"/>
            <w:tcBorders>
              <w:top w:val="single" w:color="auto" w:sz="4" w:space="0"/>
              <w:left w:val="nil"/>
              <w:bottom w:val="single" w:color="auto" w:sz="4" w:space="0"/>
              <w:right w:val="single" w:color="auto" w:sz="4" w:space="0"/>
            </w:tcBorders>
            <w:noWrap/>
            <w:vAlign w:val="center"/>
          </w:tcPr>
          <w:p w14:paraId="288BEA22">
            <w:pPr>
              <w:pStyle w:val="150"/>
              <w:rPr>
                <w:sz w:val="18"/>
                <w:szCs w:val="18"/>
              </w:rPr>
            </w:pPr>
            <w:r>
              <w:rPr>
                <w:sz w:val="18"/>
              </w:rPr>
              <w:t>3.000</w:t>
            </w:r>
          </w:p>
        </w:tc>
      </w:tr>
      <w:tr w14:paraId="6AF97CC9">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511F191C">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31133A30">
            <w:pPr>
              <w:pStyle w:val="150"/>
              <w:jc w:val="left"/>
              <w:rPr>
                <w:sz w:val="18"/>
                <w:szCs w:val="18"/>
              </w:rPr>
            </w:pPr>
            <w:r>
              <w:rPr>
                <w:sz w:val="18"/>
                <w:szCs w:val="18"/>
              </w:rPr>
              <w:t>Konzultacije s liječnikom</w:t>
            </w:r>
          </w:p>
        </w:tc>
        <w:tc>
          <w:tcPr>
            <w:tcW w:w="750" w:type="pct"/>
            <w:tcBorders>
              <w:top w:val="single" w:color="auto" w:sz="4" w:space="0"/>
              <w:left w:val="nil"/>
              <w:bottom w:val="single" w:color="auto" w:sz="4" w:space="0"/>
              <w:right w:val="single" w:color="auto" w:sz="4" w:space="0"/>
            </w:tcBorders>
            <w:noWrap/>
            <w:vAlign w:val="center"/>
          </w:tcPr>
          <w:p w14:paraId="49AC164F">
            <w:pPr>
              <w:pStyle w:val="150"/>
              <w:rPr>
                <w:sz w:val="18"/>
                <w:szCs w:val="18"/>
              </w:rPr>
            </w:pPr>
            <w:r>
              <w:rPr>
                <w:sz w:val="18"/>
              </w:rPr>
              <w:t>8.212</w:t>
            </w:r>
          </w:p>
        </w:tc>
        <w:tc>
          <w:tcPr>
            <w:tcW w:w="655" w:type="pct"/>
            <w:tcBorders>
              <w:top w:val="single" w:color="auto" w:sz="4" w:space="0"/>
              <w:left w:val="nil"/>
              <w:bottom w:val="single" w:color="auto" w:sz="4" w:space="0"/>
              <w:right w:val="single" w:color="auto" w:sz="4" w:space="0"/>
            </w:tcBorders>
            <w:noWrap/>
            <w:vAlign w:val="center"/>
          </w:tcPr>
          <w:p w14:paraId="69E0AA7D">
            <w:pPr>
              <w:pStyle w:val="150"/>
              <w:rPr>
                <w:sz w:val="18"/>
                <w:szCs w:val="18"/>
              </w:rPr>
            </w:pPr>
            <w:r>
              <w:rPr>
                <w:sz w:val="18"/>
              </w:rPr>
              <w:t>7.000</w:t>
            </w:r>
          </w:p>
        </w:tc>
      </w:tr>
      <w:tr w14:paraId="45592AC9">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00352322">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191896D">
            <w:pPr>
              <w:pStyle w:val="150"/>
              <w:jc w:val="left"/>
              <w:rPr>
                <w:sz w:val="18"/>
                <w:szCs w:val="18"/>
              </w:rPr>
            </w:pPr>
            <w:r>
              <w:rPr>
                <w:sz w:val="18"/>
                <w:szCs w:val="18"/>
              </w:rPr>
              <w:t>Konzultacije s medicinskom sestrom</w:t>
            </w:r>
          </w:p>
        </w:tc>
        <w:tc>
          <w:tcPr>
            <w:tcW w:w="750" w:type="pct"/>
            <w:tcBorders>
              <w:top w:val="single" w:color="auto" w:sz="4" w:space="0"/>
              <w:left w:val="nil"/>
              <w:bottom w:val="single" w:color="auto" w:sz="4" w:space="0"/>
              <w:right w:val="single" w:color="auto" w:sz="4" w:space="0"/>
            </w:tcBorders>
            <w:noWrap/>
            <w:vAlign w:val="center"/>
          </w:tcPr>
          <w:p w14:paraId="1751C550">
            <w:pPr>
              <w:pStyle w:val="150"/>
              <w:rPr>
                <w:sz w:val="18"/>
                <w:szCs w:val="18"/>
              </w:rPr>
            </w:pPr>
            <w:r>
              <w:rPr>
                <w:sz w:val="18"/>
              </w:rPr>
              <w:t>11.694</w:t>
            </w:r>
          </w:p>
        </w:tc>
        <w:tc>
          <w:tcPr>
            <w:tcW w:w="655" w:type="pct"/>
            <w:tcBorders>
              <w:top w:val="single" w:color="auto" w:sz="4" w:space="0"/>
              <w:left w:val="nil"/>
              <w:bottom w:val="single" w:color="auto" w:sz="4" w:space="0"/>
              <w:right w:val="single" w:color="auto" w:sz="4" w:space="0"/>
            </w:tcBorders>
            <w:noWrap/>
            <w:vAlign w:val="center"/>
          </w:tcPr>
          <w:p w14:paraId="370B3E13">
            <w:pPr>
              <w:pStyle w:val="150"/>
              <w:rPr>
                <w:sz w:val="18"/>
                <w:szCs w:val="18"/>
              </w:rPr>
            </w:pPr>
            <w:r>
              <w:rPr>
                <w:sz w:val="18"/>
              </w:rPr>
              <w:t>10.000</w:t>
            </w:r>
          </w:p>
        </w:tc>
      </w:tr>
      <w:tr w14:paraId="3B09ED4B">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right w:val="single" w:color="auto" w:sz="4" w:space="0"/>
            </w:tcBorders>
            <w:vAlign w:val="center"/>
          </w:tcPr>
          <w:p w14:paraId="08CB42CE">
            <w:pPr>
              <w:pStyle w:val="150"/>
              <w:jc w:val="left"/>
              <w:rPr>
                <w:sz w:val="18"/>
                <w:szCs w:val="18"/>
              </w:rPr>
            </w:pPr>
            <w:r>
              <w:rPr>
                <w:sz w:val="18"/>
                <w:szCs w:val="18"/>
              </w:rPr>
              <w:t>Rad u komisijama i timska sinteza</w:t>
            </w:r>
          </w:p>
        </w:tc>
        <w:tc>
          <w:tcPr>
            <w:tcW w:w="2503" w:type="pct"/>
            <w:tcBorders>
              <w:top w:val="single" w:color="auto" w:sz="4" w:space="0"/>
              <w:left w:val="nil"/>
              <w:bottom w:val="single" w:color="auto" w:sz="4" w:space="0"/>
              <w:right w:val="single" w:color="auto" w:sz="4" w:space="0"/>
            </w:tcBorders>
            <w:vAlign w:val="center"/>
          </w:tcPr>
          <w:p w14:paraId="78CE8DE2">
            <w:pPr>
              <w:pStyle w:val="150"/>
              <w:jc w:val="left"/>
              <w:rPr>
                <w:sz w:val="18"/>
                <w:szCs w:val="18"/>
              </w:rPr>
            </w:pPr>
            <w:r>
              <w:rPr>
                <w:sz w:val="18"/>
                <w:szCs w:val="18"/>
              </w:rPr>
              <w:t>Rad u komisijama – upis u prvi razred – pregledi</w:t>
            </w:r>
          </w:p>
        </w:tc>
        <w:tc>
          <w:tcPr>
            <w:tcW w:w="750" w:type="pct"/>
            <w:tcBorders>
              <w:top w:val="single" w:color="auto" w:sz="4" w:space="0"/>
              <w:left w:val="nil"/>
              <w:bottom w:val="single" w:color="auto" w:sz="4" w:space="0"/>
              <w:right w:val="single" w:color="auto" w:sz="4" w:space="0"/>
            </w:tcBorders>
            <w:noWrap/>
            <w:vAlign w:val="center"/>
          </w:tcPr>
          <w:p w14:paraId="27260805">
            <w:pPr>
              <w:pStyle w:val="150"/>
              <w:rPr>
                <w:sz w:val="18"/>
                <w:szCs w:val="18"/>
              </w:rPr>
            </w:pPr>
            <w:r>
              <w:rPr>
                <w:sz w:val="18"/>
              </w:rPr>
              <w:t>8.883</w:t>
            </w:r>
          </w:p>
        </w:tc>
        <w:tc>
          <w:tcPr>
            <w:tcW w:w="655" w:type="pct"/>
            <w:tcBorders>
              <w:top w:val="single" w:color="auto" w:sz="4" w:space="0"/>
              <w:left w:val="nil"/>
              <w:bottom w:val="single" w:color="auto" w:sz="4" w:space="0"/>
              <w:right w:val="single" w:color="auto" w:sz="4" w:space="0"/>
            </w:tcBorders>
            <w:noWrap/>
            <w:vAlign w:val="center"/>
          </w:tcPr>
          <w:p w14:paraId="790E7776">
            <w:pPr>
              <w:pStyle w:val="150"/>
              <w:rPr>
                <w:sz w:val="18"/>
                <w:szCs w:val="18"/>
              </w:rPr>
            </w:pPr>
            <w:r>
              <w:rPr>
                <w:sz w:val="18"/>
              </w:rPr>
              <w:t>8.000</w:t>
            </w:r>
          </w:p>
        </w:tc>
      </w:tr>
      <w:tr w14:paraId="2E19CB63">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06E120CE">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5B4280D">
            <w:pPr>
              <w:pStyle w:val="150"/>
              <w:jc w:val="left"/>
              <w:rPr>
                <w:sz w:val="18"/>
                <w:szCs w:val="18"/>
              </w:rPr>
            </w:pPr>
            <w:r>
              <w:rPr>
                <w:sz w:val="18"/>
                <w:szCs w:val="18"/>
              </w:rPr>
              <w:t>Timska sinteza za primjereni oblik školovanja</w:t>
            </w:r>
          </w:p>
        </w:tc>
        <w:tc>
          <w:tcPr>
            <w:tcW w:w="750" w:type="pct"/>
            <w:tcBorders>
              <w:top w:val="single" w:color="auto" w:sz="4" w:space="0"/>
              <w:left w:val="nil"/>
              <w:bottom w:val="single" w:color="auto" w:sz="4" w:space="0"/>
              <w:right w:val="single" w:color="auto" w:sz="4" w:space="0"/>
            </w:tcBorders>
            <w:noWrap/>
            <w:vAlign w:val="center"/>
          </w:tcPr>
          <w:p w14:paraId="6B712A73">
            <w:pPr>
              <w:pStyle w:val="150"/>
              <w:rPr>
                <w:sz w:val="18"/>
                <w:szCs w:val="18"/>
              </w:rPr>
            </w:pPr>
            <w:r>
              <w:rPr>
                <w:sz w:val="18"/>
              </w:rPr>
              <w:t>1.381</w:t>
            </w:r>
          </w:p>
        </w:tc>
        <w:tc>
          <w:tcPr>
            <w:tcW w:w="655" w:type="pct"/>
            <w:tcBorders>
              <w:top w:val="single" w:color="auto" w:sz="4" w:space="0"/>
              <w:left w:val="nil"/>
              <w:bottom w:val="single" w:color="auto" w:sz="4" w:space="0"/>
              <w:right w:val="single" w:color="auto" w:sz="4" w:space="0"/>
            </w:tcBorders>
            <w:noWrap/>
            <w:vAlign w:val="center"/>
          </w:tcPr>
          <w:p w14:paraId="6F7672AA">
            <w:pPr>
              <w:pStyle w:val="150"/>
              <w:rPr>
                <w:sz w:val="18"/>
                <w:szCs w:val="18"/>
              </w:rPr>
            </w:pPr>
            <w:r>
              <w:rPr>
                <w:sz w:val="18"/>
                <w:szCs w:val="18"/>
              </w:rPr>
              <w:t>2.000</w:t>
            </w:r>
          </w:p>
        </w:tc>
      </w:tr>
      <w:tr w14:paraId="398BC5CE">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2E9C5089">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3DCA5AC2">
            <w:pPr>
              <w:pStyle w:val="150"/>
              <w:jc w:val="left"/>
              <w:rPr>
                <w:spacing w:val="-6"/>
                <w:sz w:val="18"/>
                <w:szCs w:val="18"/>
              </w:rPr>
            </w:pPr>
            <w:r>
              <w:rPr>
                <w:spacing w:val="-6"/>
                <w:sz w:val="18"/>
                <w:szCs w:val="18"/>
              </w:rPr>
              <w:t>Timska sinteza za primjereni oblik školovanja – srednja škola</w:t>
            </w:r>
          </w:p>
        </w:tc>
        <w:tc>
          <w:tcPr>
            <w:tcW w:w="750" w:type="pct"/>
            <w:tcBorders>
              <w:top w:val="single" w:color="auto" w:sz="4" w:space="0"/>
              <w:left w:val="nil"/>
              <w:bottom w:val="single" w:color="auto" w:sz="4" w:space="0"/>
              <w:right w:val="single" w:color="auto" w:sz="4" w:space="0"/>
            </w:tcBorders>
            <w:noWrap/>
            <w:vAlign w:val="center"/>
          </w:tcPr>
          <w:p w14:paraId="170886CA">
            <w:pPr>
              <w:pStyle w:val="150"/>
              <w:rPr>
                <w:sz w:val="18"/>
                <w:szCs w:val="18"/>
              </w:rPr>
            </w:pPr>
            <w:r>
              <w:rPr>
                <w:sz w:val="18"/>
              </w:rPr>
              <w:t>87</w:t>
            </w:r>
          </w:p>
        </w:tc>
        <w:tc>
          <w:tcPr>
            <w:tcW w:w="655" w:type="pct"/>
            <w:tcBorders>
              <w:top w:val="single" w:color="auto" w:sz="4" w:space="0"/>
              <w:left w:val="nil"/>
              <w:bottom w:val="single" w:color="auto" w:sz="4" w:space="0"/>
              <w:right w:val="single" w:color="auto" w:sz="4" w:space="0"/>
            </w:tcBorders>
            <w:noWrap/>
            <w:vAlign w:val="center"/>
          </w:tcPr>
          <w:p w14:paraId="3D27C3B5">
            <w:pPr>
              <w:pStyle w:val="150"/>
              <w:rPr>
                <w:sz w:val="18"/>
                <w:szCs w:val="18"/>
              </w:rPr>
            </w:pPr>
            <w:r>
              <w:rPr>
                <w:sz w:val="18"/>
              </w:rPr>
              <w:t>70</w:t>
            </w:r>
          </w:p>
        </w:tc>
      </w:tr>
      <w:tr w14:paraId="76C60F31">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right w:val="single" w:color="auto" w:sz="4" w:space="0"/>
            </w:tcBorders>
            <w:vAlign w:val="center"/>
          </w:tcPr>
          <w:p w14:paraId="42303B84">
            <w:pPr>
              <w:pStyle w:val="150"/>
              <w:jc w:val="left"/>
              <w:rPr>
                <w:sz w:val="18"/>
                <w:szCs w:val="18"/>
              </w:rPr>
            </w:pPr>
            <w:r>
              <w:rPr>
                <w:sz w:val="18"/>
                <w:szCs w:val="18"/>
              </w:rPr>
              <w:t>Ekspertize</w:t>
            </w:r>
          </w:p>
        </w:tc>
        <w:tc>
          <w:tcPr>
            <w:tcW w:w="2503" w:type="pct"/>
            <w:tcBorders>
              <w:top w:val="single" w:color="auto" w:sz="4" w:space="0"/>
              <w:left w:val="nil"/>
              <w:bottom w:val="single" w:color="auto" w:sz="4" w:space="0"/>
              <w:right w:val="single" w:color="auto" w:sz="4" w:space="0"/>
            </w:tcBorders>
            <w:vAlign w:val="center"/>
          </w:tcPr>
          <w:p w14:paraId="4F67FBF6">
            <w:pPr>
              <w:pStyle w:val="150"/>
              <w:jc w:val="left"/>
              <w:rPr>
                <w:sz w:val="18"/>
                <w:szCs w:val="18"/>
              </w:rPr>
            </w:pPr>
            <w:r>
              <w:rPr>
                <w:sz w:val="18"/>
                <w:szCs w:val="18"/>
              </w:rPr>
              <w:t>Ekspertiza za upis u prvi razred</w:t>
            </w:r>
          </w:p>
        </w:tc>
        <w:tc>
          <w:tcPr>
            <w:tcW w:w="750" w:type="pct"/>
            <w:tcBorders>
              <w:top w:val="single" w:color="auto" w:sz="4" w:space="0"/>
              <w:left w:val="nil"/>
              <w:bottom w:val="single" w:color="auto" w:sz="4" w:space="0"/>
              <w:right w:val="single" w:color="auto" w:sz="4" w:space="0"/>
            </w:tcBorders>
            <w:noWrap/>
            <w:vAlign w:val="center"/>
          </w:tcPr>
          <w:p w14:paraId="6339F15E">
            <w:pPr>
              <w:pStyle w:val="150"/>
              <w:rPr>
                <w:sz w:val="18"/>
                <w:szCs w:val="18"/>
              </w:rPr>
            </w:pPr>
            <w:r>
              <w:rPr>
                <w:sz w:val="18"/>
              </w:rPr>
              <w:t>1.265</w:t>
            </w:r>
          </w:p>
        </w:tc>
        <w:tc>
          <w:tcPr>
            <w:tcW w:w="655" w:type="pct"/>
            <w:tcBorders>
              <w:top w:val="single" w:color="auto" w:sz="4" w:space="0"/>
              <w:left w:val="nil"/>
              <w:bottom w:val="single" w:color="auto" w:sz="4" w:space="0"/>
              <w:right w:val="single" w:color="auto" w:sz="4" w:space="0"/>
            </w:tcBorders>
            <w:noWrap/>
            <w:vAlign w:val="center"/>
          </w:tcPr>
          <w:p w14:paraId="40ED9DA8">
            <w:pPr>
              <w:pStyle w:val="150"/>
              <w:rPr>
                <w:sz w:val="18"/>
                <w:szCs w:val="18"/>
              </w:rPr>
            </w:pPr>
            <w:r>
              <w:rPr>
                <w:sz w:val="18"/>
              </w:rPr>
              <w:t>1.200</w:t>
            </w:r>
          </w:p>
        </w:tc>
      </w:tr>
      <w:tr w14:paraId="26A66080">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2741D0D9">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22F5ED06">
            <w:pPr>
              <w:pStyle w:val="150"/>
              <w:jc w:val="left"/>
              <w:rPr>
                <w:sz w:val="18"/>
                <w:szCs w:val="18"/>
              </w:rPr>
            </w:pPr>
            <w:r>
              <w:rPr>
                <w:sz w:val="18"/>
                <w:szCs w:val="18"/>
              </w:rPr>
              <w:t>Ekspertiza za primjereni oblik školovanja – osnovna škola</w:t>
            </w:r>
          </w:p>
        </w:tc>
        <w:tc>
          <w:tcPr>
            <w:tcW w:w="750" w:type="pct"/>
            <w:tcBorders>
              <w:top w:val="single" w:color="auto" w:sz="4" w:space="0"/>
              <w:left w:val="nil"/>
              <w:bottom w:val="single" w:color="auto" w:sz="4" w:space="0"/>
              <w:right w:val="single" w:color="auto" w:sz="4" w:space="0"/>
            </w:tcBorders>
            <w:noWrap/>
            <w:vAlign w:val="center"/>
          </w:tcPr>
          <w:p w14:paraId="4F92D100">
            <w:pPr>
              <w:pStyle w:val="150"/>
              <w:rPr>
                <w:sz w:val="18"/>
                <w:szCs w:val="18"/>
              </w:rPr>
            </w:pPr>
            <w:r>
              <w:rPr>
                <w:sz w:val="18"/>
              </w:rPr>
              <w:t>1.857</w:t>
            </w:r>
          </w:p>
        </w:tc>
        <w:tc>
          <w:tcPr>
            <w:tcW w:w="655" w:type="pct"/>
            <w:tcBorders>
              <w:top w:val="single" w:color="auto" w:sz="4" w:space="0"/>
              <w:left w:val="nil"/>
              <w:bottom w:val="single" w:color="auto" w:sz="4" w:space="0"/>
              <w:right w:val="single" w:color="auto" w:sz="4" w:space="0"/>
            </w:tcBorders>
            <w:noWrap/>
            <w:vAlign w:val="center"/>
          </w:tcPr>
          <w:p w14:paraId="4E68D453">
            <w:pPr>
              <w:pStyle w:val="150"/>
              <w:rPr>
                <w:sz w:val="18"/>
                <w:szCs w:val="18"/>
              </w:rPr>
            </w:pPr>
            <w:r>
              <w:rPr>
                <w:sz w:val="18"/>
              </w:rPr>
              <w:t>1.300</w:t>
            </w:r>
          </w:p>
        </w:tc>
      </w:tr>
      <w:tr w14:paraId="21E7560D">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57D0DB00">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026E7A4D">
            <w:pPr>
              <w:pStyle w:val="150"/>
              <w:jc w:val="left"/>
              <w:rPr>
                <w:sz w:val="18"/>
                <w:szCs w:val="18"/>
              </w:rPr>
            </w:pPr>
            <w:r>
              <w:rPr>
                <w:sz w:val="18"/>
                <w:szCs w:val="18"/>
              </w:rPr>
              <w:t>Ekspertiza za primjereni oblik školovanja – srednja škola</w:t>
            </w:r>
          </w:p>
        </w:tc>
        <w:tc>
          <w:tcPr>
            <w:tcW w:w="750" w:type="pct"/>
            <w:tcBorders>
              <w:top w:val="single" w:color="auto" w:sz="4" w:space="0"/>
              <w:left w:val="nil"/>
              <w:bottom w:val="single" w:color="auto" w:sz="4" w:space="0"/>
              <w:right w:val="single" w:color="auto" w:sz="4" w:space="0"/>
            </w:tcBorders>
            <w:noWrap/>
            <w:vAlign w:val="center"/>
          </w:tcPr>
          <w:p w14:paraId="635693A4">
            <w:pPr>
              <w:pStyle w:val="150"/>
              <w:rPr>
                <w:sz w:val="18"/>
                <w:szCs w:val="18"/>
              </w:rPr>
            </w:pPr>
            <w:r>
              <w:rPr>
                <w:sz w:val="18"/>
              </w:rPr>
              <w:t>166</w:t>
            </w:r>
          </w:p>
        </w:tc>
        <w:tc>
          <w:tcPr>
            <w:tcW w:w="655" w:type="pct"/>
            <w:tcBorders>
              <w:top w:val="single" w:color="auto" w:sz="4" w:space="0"/>
              <w:left w:val="nil"/>
              <w:bottom w:val="single" w:color="auto" w:sz="4" w:space="0"/>
              <w:right w:val="single" w:color="auto" w:sz="4" w:space="0"/>
            </w:tcBorders>
            <w:noWrap/>
            <w:vAlign w:val="center"/>
          </w:tcPr>
          <w:p w14:paraId="0B6AF936">
            <w:pPr>
              <w:pStyle w:val="150"/>
              <w:rPr>
                <w:sz w:val="18"/>
                <w:szCs w:val="18"/>
              </w:rPr>
            </w:pPr>
            <w:r>
              <w:rPr>
                <w:sz w:val="18"/>
              </w:rPr>
              <w:t>200</w:t>
            </w:r>
          </w:p>
        </w:tc>
      </w:tr>
      <w:tr w14:paraId="18DE7ED0">
        <w:tblPrEx>
          <w:tblCellMar>
            <w:top w:w="0" w:type="dxa"/>
            <w:left w:w="108" w:type="dxa"/>
            <w:bottom w:w="0" w:type="dxa"/>
            <w:right w:w="108" w:type="dxa"/>
          </w:tblCellMar>
        </w:tblPrEx>
        <w:trPr>
          <w:trHeight w:val="369" w:hRule="atLeast"/>
        </w:trPr>
        <w:tc>
          <w:tcPr>
            <w:tcW w:w="1092" w:type="pct"/>
            <w:vMerge w:val="restart"/>
            <w:tcBorders>
              <w:top w:val="single" w:color="auto" w:sz="4" w:space="0"/>
              <w:left w:val="single" w:color="auto" w:sz="4" w:space="0"/>
              <w:right w:val="single" w:color="auto" w:sz="4" w:space="0"/>
            </w:tcBorders>
            <w:vAlign w:val="center"/>
          </w:tcPr>
          <w:p w14:paraId="42DCE480">
            <w:pPr>
              <w:pStyle w:val="150"/>
              <w:jc w:val="left"/>
              <w:rPr>
                <w:sz w:val="18"/>
                <w:szCs w:val="18"/>
              </w:rPr>
            </w:pPr>
            <w:r>
              <w:rPr>
                <w:sz w:val="18"/>
                <w:szCs w:val="18"/>
              </w:rPr>
              <w:t>Pregledi za TZK i sport</w:t>
            </w:r>
          </w:p>
        </w:tc>
        <w:tc>
          <w:tcPr>
            <w:tcW w:w="2503" w:type="pct"/>
            <w:tcBorders>
              <w:top w:val="single" w:color="auto" w:sz="4" w:space="0"/>
              <w:left w:val="nil"/>
              <w:bottom w:val="single" w:color="auto" w:sz="4" w:space="0"/>
              <w:right w:val="single" w:color="auto" w:sz="4" w:space="0"/>
            </w:tcBorders>
            <w:vAlign w:val="center"/>
          </w:tcPr>
          <w:p w14:paraId="2F36C9AF">
            <w:pPr>
              <w:pStyle w:val="150"/>
              <w:jc w:val="left"/>
              <w:rPr>
                <w:sz w:val="18"/>
                <w:szCs w:val="18"/>
              </w:rPr>
            </w:pPr>
            <w:r>
              <w:rPr>
                <w:sz w:val="18"/>
                <w:szCs w:val="18"/>
              </w:rPr>
              <w:t>Osnovna škola</w:t>
            </w:r>
          </w:p>
        </w:tc>
        <w:tc>
          <w:tcPr>
            <w:tcW w:w="750" w:type="pct"/>
            <w:tcBorders>
              <w:top w:val="single" w:color="auto" w:sz="4" w:space="0"/>
              <w:left w:val="nil"/>
              <w:bottom w:val="single" w:color="auto" w:sz="4" w:space="0"/>
              <w:right w:val="single" w:color="auto" w:sz="4" w:space="0"/>
            </w:tcBorders>
            <w:noWrap/>
            <w:vAlign w:val="center"/>
          </w:tcPr>
          <w:p w14:paraId="63E4077A">
            <w:pPr>
              <w:pStyle w:val="150"/>
              <w:rPr>
                <w:sz w:val="18"/>
                <w:szCs w:val="18"/>
              </w:rPr>
            </w:pPr>
            <w:r>
              <w:rPr>
                <w:sz w:val="18"/>
              </w:rPr>
              <w:t>1.209</w:t>
            </w:r>
          </w:p>
        </w:tc>
        <w:tc>
          <w:tcPr>
            <w:tcW w:w="655" w:type="pct"/>
            <w:tcBorders>
              <w:top w:val="single" w:color="auto" w:sz="4" w:space="0"/>
              <w:left w:val="nil"/>
              <w:bottom w:val="single" w:color="auto" w:sz="4" w:space="0"/>
              <w:right w:val="single" w:color="auto" w:sz="4" w:space="0"/>
            </w:tcBorders>
            <w:noWrap/>
            <w:vAlign w:val="center"/>
          </w:tcPr>
          <w:p w14:paraId="3DFFC968">
            <w:pPr>
              <w:pStyle w:val="150"/>
              <w:rPr>
                <w:sz w:val="18"/>
                <w:szCs w:val="18"/>
              </w:rPr>
            </w:pPr>
            <w:r>
              <w:rPr>
                <w:sz w:val="18"/>
                <w:szCs w:val="18"/>
              </w:rPr>
              <w:t>1.000</w:t>
            </w:r>
          </w:p>
        </w:tc>
      </w:tr>
      <w:tr w14:paraId="5A583B8E">
        <w:tblPrEx>
          <w:tblCellMar>
            <w:top w:w="0" w:type="dxa"/>
            <w:left w:w="108" w:type="dxa"/>
            <w:bottom w:w="0" w:type="dxa"/>
            <w:right w:w="108" w:type="dxa"/>
          </w:tblCellMar>
        </w:tblPrEx>
        <w:trPr>
          <w:trHeight w:val="369" w:hRule="atLeast"/>
        </w:trPr>
        <w:tc>
          <w:tcPr>
            <w:tcW w:w="1092" w:type="pct"/>
            <w:vMerge w:val="continue"/>
            <w:tcBorders>
              <w:left w:val="single" w:color="auto" w:sz="4" w:space="0"/>
              <w:right w:val="single" w:color="auto" w:sz="4" w:space="0"/>
            </w:tcBorders>
            <w:vAlign w:val="center"/>
          </w:tcPr>
          <w:p w14:paraId="2AB3B7D9">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4BA0C1D8">
            <w:pPr>
              <w:pStyle w:val="150"/>
              <w:jc w:val="left"/>
              <w:rPr>
                <w:sz w:val="18"/>
                <w:szCs w:val="18"/>
              </w:rPr>
            </w:pPr>
            <w:r>
              <w:rPr>
                <w:sz w:val="18"/>
                <w:szCs w:val="18"/>
              </w:rPr>
              <w:t>Srednja škola</w:t>
            </w:r>
          </w:p>
        </w:tc>
        <w:tc>
          <w:tcPr>
            <w:tcW w:w="750" w:type="pct"/>
            <w:tcBorders>
              <w:top w:val="single" w:color="auto" w:sz="4" w:space="0"/>
              <w:left w:val="nil"/>
              <w:bottom w:val="single" w:color="auto" w:sz="4" w:space="0"/>
              <w:right w:val="single" w:color="auto" w:sz="4" w:space="0"/>
            </w:tcBorders>
            <w:noWrap/>
            <w:vAlign w:val="center"/>
          </w:tcPr>
          <w:p w14:paraId="71395647">
            <w:pPr>
              <w:pStyle w:val="150"/>
              <w:rPr>
                <w:sz w:val="18"/>
                <w:szCs w:val="18"/>
              </w:rPr>
            </w:pPr>
            <w:r>
              <w:rPr>
                <w:sz w:val="18"/>
              </w:rPr>
              <w:t>1.994</w:t>
            </w:r>
          </w:p>
        </w:tc>
        <w:tc>
          <w:tcPr>
            <w:tcW w:w="655" w:type="pct"/>
            <w:tcBorders>
              <w:top w:val="single" w:color="auto" w:sz="4" w:space="0"/>
              <w:left w:val="nil"/>
              <w:bottom w:val="single" w:color="auto" w:sz="4" w:space="0"/>
              <w:right w:val="single" w:color="auto" w:sz="4" w:space="0"/>
            </w:tcBorders>
            <w:noWrap/>
            <w:vAlign w:val="center"/>
          </w:tcPr>
          <w:p w14:paraId="3FAFE7B1">
            <w:pPr>
              <w:pStyle w:val="150"/>
              <w:rPr>
                <w:sz w:val="18"/>
                <w:szCs w:val="18"/>
              </w:rPr>
            </w:pPr>
            <w:r>
              <w:rPr>
                <w:sz w:val="18"/>
                <w:szCs w:val="18"/>
              </w:rPr>
              <w:t>1.400</w:t>
            </w:r>
          </w:p>
        </w:tc>
      </w:tr>
      <w:tr w14:paraId="3BA998CB">
        <w:tblPrEx>
          <w:tblCellMar>
            <w:top w:w="0" w:type="dxa"/>
            <w:left w:w="108" w:type="dxa"/>
            <w:bottom w:w="0" w:type="dxa"/>
            <w:right w:w="108" w:type="dxa"/>
          </w:tblCellMar>
        </w:tblPrEx>
        <w:trPr>
          <w:trHeight w:val="369" w:hRule="atLeast"/>
        </w:trPr>
        <w:tc>
          <w:tcPr>
            <w:tcW w:w="1092" w:type="pct"/>
            <w:vMerge w:val="continue"/>
            <w:tcBorders>
              <w:left w:val="single" w:color="auto" w:sz="4" w:space="0"/>
              <w:bottom w:val="single" w:color="auto" w:sz="4" w:space="0"/>
              <w:right w:val="single" w:color="auto" w:sz="4" w:space="0"/>
            </w:tcBorders>
            <w:vAlign w:val="center"/>
          </w:tcPr>
          <w:p w14:paraId="05F190A7">
            <w:pPr>
              <w:pStyle w:val="150"/>
              <w:jc w:val="left"/>
              <w:rPr>
                <w:sz w:val="18"/>
                <w:szCs w:val="18"/>
              </w:rPr>
            </w:pPr>
          </w:p>
        </w:tc>
        <w:tc>
          <w:tcPr>
            <w:tcW w:w="2503" w:type="pct"/>
            <w:tcBorders>
              <w:top w:val="single" w:color="auto" w:sz="4" w:space="0"/>
              <w:left w:val="nil"/>
              <w:bottom w:val="single" w:color="auto" w:sz="4" w:space="0"/>
              <w:right w:val="single" w:color="auto" w:sz="4" w:space="0"/>
            </w:tcBorders>
            <w:vAlign w:val="center"/>
          </w:tcPr>
          <w:p w14:paraId="1F4716E2">
            <w:pPr>
              <w:pStyle w:val="150"/>
              <w:jc w:val="left"/>
              <w:rPr>
                <w:sz w:val="18"/>
                <w:szCs w:val="18"/>
              </w:rPr>
            </w:pPr>
            <w:r>
              <w:rPr>
                <w:sz w:val="18"/>
                <w:szCs w:val="18"/>
              </w:rPr>
              <w:t>Studenti</w:t>
            </w:r>
          </w:p>
        </w:tc>
        <w:tc>
          <w:tcPr>
            <w:tcW w:w="750" w:type="pct"/>
            <w:tcBorders>
              <w:top w:val="single" w:color="auto" w:sz="4" w:space="0"/>
              <w:left w:val="nil"/>
              <w:bottom w:val="single" w:color="auto" w:sz="4" w:space="0"/>
              <w:right w:val="single" w:color="auto" w:sz="4" w:space="0"/>
            </w:tcBorders>
            <w:noWrap/>
            <w:vAlign w:val="center"/>
          </w:tcPr>
          <w:p w14:paraId="0545A922">
            <w:pPr>
              <w:pStyle w:val="150"/>
              <w:rPr>
                <w:sz w:val="18"/>
                <w:szCs w:val="18"/>
              </w:rPr>
            </w:pPr>
            <w:r>
              <w:rPr>
                <w:sz w:val="18"/>
              </w:rPr>
              <w:t>565</w:t>
            </w:r>
          </w:p>
        </w:tc>
        <w:tc>
          <w:tcPr>
            <w:tcW w:w="655" w:type="pct"/>
            <w:tcBorders>
              <w:top w:val="single" w:color="auto" w:sz="4" w:space="0"/>
              <w:left w:val="nil"/>
              <w:bottom w:val="single" w:color="auto" w:sz="4" w:space="0"/>
              <w:right w:val="single" w:color="auto" w:sz="4" w:space="0"/>
            </w:tcBorders>
            <w:noWrap/>
            <w:vAlign w:val="center"/>
          </w:tcPr>
          <w:p w14:paraId="5C762656">
            <w:pPr>
              <w:pStyle w:val="150"/>
              <w:rPr>
                <w:sz w:val="18"/>
                <w:szCs w:val="18"/>
              </w:rPr>
            </w:pPr>
            <w:r>
              <w:rPr>
                <w:sz w:val="18"/>
                <w:szCs w:val="18"/>
              </w:rPr>
              <w:t>750</w:t>
            </w:r>
          </w:p>
        </w:tc>
      </w:tr>
      <w:tr w14:paraId="39D4F77A">
        <w:tblPrEx>
          <w:tblCellMar>
            <w:top w:w="0" w:type="dxa"/>
            <w:left w:w="108" w:type="dxa"/>
            <w:bottom w:w="0" w:type="dxa"/>
            <w:right w:w="108" w:type="dxa"/>
          </w:tblCellMar>
        </w:tblPrEx>
        <w:trPr>
          <w:trHeight w:val="369" w:hRule="atLeast"/>
        </w:trPr>
        <w:tc>
          <w:tcPr>
            <w:tcW w:w="1092" w:type="pct"/>
            <w:tcBorders>
              <w:top w:val="single" w:color="auto" w:sz="4" w:space="0"/>
              <w:left w:val="single" w:color="auto" w:sz="4" w:space="0"/>
              <w:bottom w:val="single" w:color="auto" w:sz="4" w:space="0"/>
              <w:right w:val="single" w:color="auto" w:sz="4" w:space="0"/>
            </w:tcBorders>
            <w:vAlign w:val="center"/>
          </w:tcPr>
          <w:p w14:paraId="74577EA2">
            <w:pPr>
              <w:pStyle w:val="150"/>
              <w:jc w:val="left"/>
              <w:rPr>
                <w:sz w:val="18"/>
                <w:szCs w:val="18"/>
              </w:rPr>
            </w:pPr>
            <w:r>
              <w:rPr>
                <w:sz w:val="18"/>
                <w:szCs w:val="18"/>
              </w:rPr>
              <w:t>Mjere zaštite i suradnja</w:t>
            </w:r>
          </w:p>
        </w:tc>
        <w:tc>
          <w:tcPr>
            <w:tcW w:w="2503" w:type="pct"/>
            <w:tcBorders>
              <w:top w:val="single" w:color="auto" w:sz="4" w:space="0"/>
              <w:left w:val="nil"/>
              <w:bottom w:val="single" w:color="auto" w:sz="4" w:space="0"/>
              <w:right w:val="single" w:color="auto" w:sz="4" w:space="0"/>
            </w:tcBorders>
            <w:vAlign w:val="center"/>
          </w:tcPr>
          <w:p w14:paraId="5BA1F35A">
            <w:pPr>
              <w:pStyle w:val="150"/>
              <w:jc w:val="left"/>
              <w:rPr>
                <w:sz w:val="18"/>
                <w:szCs w:val="18"/>
              </w:rPr>
            </w:pPr>
            <w:r>
              <w:rPr>
                <w:sz w:val="18"/>
                <w:szCs w:val="18"/>
              </w:rPr>
              <w:t>Zaštita i unaprjeđenje školskog okruženja</w:t>
            </w:r>
          </w:p>
        </w:tc>
        <w:tc>
          <w:tcPr>
            <w:tcW w:w="750" w:type="pct"/>
            <w:tcBorders>
              <w:top w:val="single" w:color="auto" w:sz="4" w:space="0"/>
              <w:left w:val="nil"/>
              <w:bottom w:val="single" w:color="auto" w:sz="4" w:space="0"/>
              <w:right w:val="single" w:color="auto" w:sz="4" w:space="0"/>
            </w:tcBorders>
            <w:noWrap/>
            <w:vAlign w:val="center"/>
          </w:tcPr>
          <w:p w14:paraId="6F01B01D">
            <w:pPr>
              <w:pStyle w:val="150"/>
              <w:rPr>
                <w:sz w:val="18"/>
                <w:szCs w:val="18"/>
              </w:rPr>
            </w:pPr>
            <w:r>
              <w:rPr>
                <w:sz w:val="18"/>
              </w:rPr>
              <w:t>640</w:t>
            </w:r>
          </w:p>
        </w:tc>
        <w:tc>
          <w:tcPr>
            <w:tcW w:w="655" w:type="pct"/>
            <w:tcBorders>
              <w:top w:val="single" w:color="auto" w:sz="4" w:space="0"/>
              <w:left w:val="nil"/>
              <w:bottom w:val="single" w:color="auto" w:sz="4" w:space="0"/>
              <w:right w:val="single" w:color="auto" w:sz="4" w:space="0"/>
            </w:tcBorders>
            <w:noWrap/>
            <w:vAlign w:val="center"/>
          </w:tcPr>
          <w:p w14:paraId="2ECE425F">
            <w:pPr>
              <w:pStyle w:val="150"/>
              <w:rPr>
                <w:sz w:val="18"/>
                <w:szCs w:val="18"/>
              </w:rPr>
            </w:pPr>
            <w:r>
              <w:rPr>
                <w:sz w:val="18"/>
              </w:rPr>
              <w:t>500</w:t>
            </w:r>
          </w:p>
        </w:tc>
      </w:tr>
    </w:tbl>
    <w:p w14:paraId="3A26C94E"/>
    <w:p w14:paraId="21DFDE8A">
      <w:r>
        <w:br w:type="page"/>
      </w:r>
    </w:p>
    <w:p w14:paraId="7B0775BC"/>
    <w:p w14:paraId="683CB836">
      <w:pPr>
        <w:pStyle w:val="2"/>
      </w:pPr>
      <w:bookmarkStart w:id="32" w:name="_Toc84862509"/>
      <w:bookmarkStart w:id="33" w:name="_Toc184821166"/>
      <w:r>
        <w:t>8. Služba za mentalno zdravlje i prevenciju ovisnosti</w:t>
      </w:r>
      <w:bookmarkEnd w:id="32"/>
      <w:bookmarkEnd w:id="33"/>
    </w:p>
    <w:p w14:paraId="7C73E6D3"/>
    <w:p w14:paraId="1F95EFC7">
      <w:pPr>
        <w:pStyle w:val="147"/>
      </w:pPr>
      <w:r>
        <w:t>SAŽETAK DJELOKRUGA RADA</w:t>
      </w:r>
    </w:p>
    <w:p w14:paraId="561C7398">
      <w:r>
        <w:t>Služba za mentalno zdravlje i prevenciju ovisnosti provodi niz aktivnosti iz područja zaštite i unaprjeđenja mentalnog zdravlja i prevencije ovisnosti sukladno svim strateškim dokumentima.</w:t>
      </w:r>
    </w:p>
    <w:p w14:paraId="1C8B60F1">
      <w:r>
        <w:t>Preventivne aktivnosti provode se na načelima univerzalne, selektivne i indicirane prevencije, a tretman prema medicinskoj indikaciji sukladno suvremenim medicinskim saznanjima, uz multidisciplinarni i individualni pristup korisniku. Aktivnosti prevencije usmjerene su prema općoj populaciji (univerzalne), ali i prema rizičnim skupinama (selektivne/indicirane) s ciljevima rane detekcije i ranih intervencija kroz psihoedukaciju, psihosocijalnu podršku, uvježbavanje vještina samopomoći i motiviranjem za tretman. Osobita pažnja usmjerena je na očuvanje mentalnog zdravlja djece i adolescenata u obliku savjetovanja djece i adolescenata koji su u rizičnom ponašanju, kao i onih koji su posebno izloženi stresu (poremećaja ponašanja i emocija u dječjoj i adolescentnoj dobi (školski neuspjeh, školska fobija i adolescentne krize) s ciljem povećanja sposobnosti za savladavanje kriznih stanja i adaptaciju na nove okolnosti te sprječavanja nastupa mentalnih poremećaja.</w:t>
      </w:r>
    </w:p>
    <w:p w14:paraId="2A12C569">
      <w:r>
        <w:t>Tretmani se provode na znanstveno utemeljenim načelima i prema stručnim smjernicama s ciljem otklanjanja smetnji i postizanja emocionalne stabilnosti, podizanja razine kvalitete života, produktivnosti i funkcionalnosti.</w:t>
      </w:r>
    </w:p>
    <w:p w14:paraId="2D2C080A">
      <w:pPr>
        <w:rPr>
          <w:spacing w:val="-2"/>
        </w:rPr>
      </w:pPr>
      <w:r>
        <w:rPr>
          <w:spacing w:val="-2"/>
        </w:rPr>
        <w:t>Kontinuirano se provodi dobra praksa multisektorske suradnje s institucijama u zdravstvenom (podrška LOM-u, specijalistička usavršavanja), obrazovnom i pravosudnom sustavu, kao i u sustavu socijalne skrbi te suradnja s nevladinim organizacijama.</w:t>
      </w:r>
    </w:p>
    <w:p w14:paraId="0D3D38A2">
      <w:r>
        <w:t xml:space="preserve">U provedbi aktivnosti sudjeluje 28 djelatnika Službe raspoređenih prema sistematizaciji u četiri odjela te od kolovoza u Službi djeluje </w:t>
      </w:r>
      <w:r>
        <w:rPr>
          <w:bCs/>
          <w:iCs/>
        </w:rPr>
        <w:t>Mobilni tim za mentalno zdravlje kao</w:t>
      </w:r>
      <w:r>
        <w:rPr>
          <w:bCs/>
        </w:rPr>
        <w:t xml:space="preserve"> Pilot projekt Grada Zagreba</w:t>
      </w:r>
      <w:r>
        <w:t>. Odjeli su organizirani prema dobnoj distribuciji i području djelatnosti: Odjel za prevenciju ovisnosti, Odjel/Centar za zaštitu mentalnog zdravlja djece i mladih, Odjel/Centar za zaštitu mentalnog zdravlja odraslih i Odjel/Centar za zaštitu mentalnog zdravlja osoba starije životne dobi i vulnerabilnih skupina, Mobilni tim. Rad Službe odvija se na četiri lokacije</w:t>
      </w:r>
      <w:r>
        <w:rPr>
          <w:vertAlign w:val="superscript"/>
        </w:rPr>
        <w:footnoteReference w:id="0"/>
      </w:r>
      <w:r>
        <w:t>:</w:t>
      </w:r>
    </w:p>
    <w:p w14:paraId="00B25FE5">
      <w:pPr>
        <w:numPr>
          <w:ilvl w:val="0"/>
          <w:numId w:val="49"/>
        </w:numPr>
      </w:pPr>
      <w:r>
        <w:t>Odjel za prevenciju ovisnosti (Mirogojska cesta 11)</w:t>
      </w:r>
    </w:p>
    <w:p w14:paraId="56157AC7">
      <w:pPr>
        <w:numPr>
          <w:ilvl w:val="0"/>
          <w:numId w:val="49"/>
        </w:numPr>
      </w:pPr>
      <w:r>
        <w:t>Odjel/Centar za zaštitu mentalnog zdravlja odraslih (Remetinečki gaj 14; Mirogojska cesta 11; Ožegovićeva 9; Hirčeva 1)</w:t>
      </w:r>
    </w:p>
    <w:p w14:paraId="1114130B">
      <w:pPr>
        <w:numPr>
          <w:ilvl w:val="0"/>
          <w:numId w:val="49"/>
        </w:numPr>
      </w:pPr>
      <w:r>
        <w:t>Odjel/Centar za zaštitu mentalnog zdravlja djece i mladih (Remetinečki gaj 14; Hirčeva 1; Mirogojska cesta 11)</w:t>
      </w:r>
    </w:p>
    <w:p w14:paraId="4A2B3768">
      <w:pPr>
        <w:numPr>
          <w:ilvl w:val="0"/>
          <w:numId w:val="49"/>
        </w:numPr>
      </w:pPr>
      <w:r>
        <w:t>Odjel/Centar za zaštitu mentalnog zdravlja osoba starije životne dobi i vulnerabilnih skupina (Remetinečki gaj 14; Ožegovićeva 9).</w:t>
      </w:r>
    </w:p>
    <w:p w14:paraId="76F96346">
      <w:pPr>
        <w:numPr>
          <w:ilvl w:val="0"/>
          <w:numId w:val="49"/>
        </w:numPr>
      </w:pPr>
      <w:r>
        <w:t>Mobilni tim (Mirogojska cesta 11).</w:t>
      </w:r>
    </w:p>
    <w:p w14:paraId="540D1D6E">
      <w:r>
        <w:t>Ako će biti osigurani novi prostori za rad timova Službe tijekom 2025. godine, pristupit će se proširenju i novom zapošljavanju sukladno usvojenoj Mreži javne zdravstvene službe (NN 49/2024) za tri nova HZZO tima.</w:t>
      </w:r>
    </w:p>
    <w:p w14:paraId="2DDA6DA5"/>
    <w:p w14:paraId="479858DA">
      <w:pPr>
        <w:pStyle w:val="147"/>
      </w:pPr>
      <w:r>
        <w:t>OBRAZLOŽENI PROGRAMI, ZAKONSKE I DRUGE PODLOGE NA KOJIMA SE ZASNIVAJU PROGRAMI</w:t>
      </w:r>
    </w:p>
    <w:p w14:paraId="1EF6E263"/>
    <w:p w14:paraId="3A9581C1">
      <w:pPr>
        <w:rPr>
          <w:bCs/>
          <w:i/>
          <w:iCs/>
        </w:rPr>
      </w:pPr>
      <w:r>
        <w:rPr>
          <w:bCs/>
          <w:i/>
          <w:iCs/>
        </w:rPr>
        <w:t>Prevencija ovisnosti</w:t>
      </w:r>
    </w:p>
    <w:p w14:paraId="149FABCC">
      <w:r>
        <w:t>Odjel za prevenciju ovisnosti provodi aktivnosti vezane za problematiku konzumacije sredstava ovisnosti kao i bihevioralnih ovisnosti.</w:t>
      </w:r>
    </w:p>
    <w:p w14:paraId="4C8E6D0D">
      <w:r>
        <w:t>U Odjelu se provode sljedeće aktivnosti:</w:t>
      </w:r>
    </w:p>
    <w:p w14:paraId="0EFA718E">
      <w:pPr>
        <w:numPr>
          <w:ilvl w:val="0"/>
          <w:numId w:val="50"/>
        </w:numPr>
      </w:pPr>
      <w:r>
        <w:t>psihijatrijska obrada osoba koje konzumiraju psihoaktivne supstance</w:t>
      </w:r>
    </w:p>
    <w:p w14:paraId="38E3024B">
      <w:pPr>
        <w:numPr>
          <w:ilvl w:val="0"/>
          <w:numId w:val="50"/>
        </w:numPr>
      </w:pPr>
      <w:r>
        <w:t>određuje se individualni terapijski plan uz usmeni informirani pristanak pacijenta</w:t>
      </w:r>
    </w:p>
    <w:p w14:paraId="77DBC970">
      <w:pPr>
        <w:numPr>
          <w:ilvl w:val="0"/>
          <w:numId w:val="50"/>
        </w:numPr>
      </w:pPr>
      <w:r>
        <w:t>provodi se individualni, grupni i obiteljski psihoterapijski tretman uz potrebne socijalne intervencije i testiranje urina na prisustvo metabolita droga</w:t>
      </w:r>
    </w:p>
    <w:p w14:paraId="45CBD7DB">
      <w:pPr>
        <w:numPr>
          <w:ilvl w:val="0"/>
          <w:numId w:val="50"/>
        </w:numPr>
      </w:pPr>
      <w:r>
        <w:t>ostvaruje se suradnja s liječnicima primarne zdravstvene zaštite, školske i adolescentne medicine, specijaliziranim bolničkim odjelima, terapijskim zajednicama, školama, sudom za maloljetnike, centrima za socijalnu skrb, općinskim državnim odvjetništvima, penalnim sustavom te nevladinim organizacijama</w:t>
      </w:r>
    </w:p>
    <w:p w14:paraId="3824C44D">
      <w:pPr>
        <w:numPr>
          <w:ilvl w:val="0"/>
          <w:numId w:val="50"/>
        </w:numPr>
      </w:pPr>
      <w:r>
        <w:t>provodi se edukacija različitih stručnjaka i volontera, odjel surađuje s medijima, a stručno pomaže različitim nevladinim organizacijama i udrugama koje sudjeluju u rehabilitaciji ovisnika</w:t>
      </w:r>
    </w:p>
    <w:p w14:paraId="758B8C58">
      <w:pPr>
        <w:numPr>
          <w:ilvl w:val="0"/>
          <w:numId w:val="50"/>
        </w:numPr>
      </w:pPr>
      <w:r>
        <w:t>koordiniraju se sve potrebne aktivnosti koje su usmjerene smanjenju rizika širenja HIV infekcije te hepatitisa; Služba epidemiološki prati, koordinira i provodi programe smanjenja potražnje droga te provodi specifično liječenje</w:t>
      </w:r>
    </w:p>
    <w:p w14:paraId="05940C06">
      <w:pPr>
        <w:numPr>
          <w:ilvl w:val="0"/>
          <w:numId w:val="50"/>
        </w:numPr>
      </w:pPr>
      <w:r>
        <w:t>sudjeluje u radu svih relevantnih povjerenstva Ureda za droge HZJZ-a, Ministarstva zdravstva i grada Zagreba na području ovisnosti.</w:t>
      </w:r>
    </w:p>
    <w:p w14:paraId="1B9E05FE"/>
    <w:p w14:paraId="1858A383">
      <w:pPr>
        <w:rPr>
          <w:bCs/>
          <w:i/>
          <w:iCs/>
        </w:rPr>
      </w:pPr>
      <w:r>
        <w:rPr>
          <w:bCs/>
          <w:i/>
          <w:iCs/>
        </w:rPr>
        <w:t>Zaštita mentalnog zdravlja odraslih</w:t>
      </w:r>
    </w:p>
    <w:p w14:paraId="1B85A1F2">
      <w:pPr>
        <w:rPr>
          <w:spacing w:val="-2"/>
        </w:rPr>
      </w:pPr>
      <w:r>
        <w:rPr>
          <w:spacing w:val="-2"/>
        </w:rPr>
        <w:t>Odjel/Centar za zaštitu za mentalnog zdravlja odraslih provodi niz aktivnosti po principima univerzalne, selektivne i indicirane prevencije. Mjere su usmjerene na očuvanje i unapređenje mentalnog zdravlja pojedinca, obitelji te šire društvene zajednice. Zaštita mentalnog zdravlja odraslih obuhvaća aktivnosti promicanja i prevencije problema mentalnog zdravlja kroz izvanbolničku skrb rane detekcije i ranih intervencija.</w:t>
      </w:r>
    </w:p>
    <w:p w14:paraId="70A29415">
      <w:r>
        <w:t>Modeli pružanja pomoći prilagođeni su individualnim potrebama te uz psihijatre uključuju i stručnjake različitih pomagačkih profesija uz mogućnost savjetovanja i/ili psihoterapije u obliku individualnog, obiteljskog, partnerskog ili grupnog rada. Posebna se pažnja kod osoba srednje životne dobi usmjerava na povećanje psihološke otpornosti i mehanizme suočavanja sa stresom radi povećanja produktivnosti, funkcionalnosti i poboljšanja kvalitete života.</w:t>
      </w:r>
    </w:p>
    <w:p w14:paraId="05CF0733">
      <w:pPr>
        <w:rPr>
          <w:iCs/>
        </w:rPr>
      </w:pPr>
      <w:r>
        <w:rPr>
          <w:iCs/>
        </w:rPr>
        <w:t>Zaštita mentalnoga zdravlja obuhvaća:</w:t>
      </w:r>
    </w:p>
    <w:p w14:paraId="7253D750">
      <w:pPr>
        <w:numPr>
          <w:ilvl w:val="0"/>
          <w:numId w:val="51"/>
        </w:numPr>
      </w:pPr>
      <w:r>
        <w:t>mjere i aktivnosti u nekoliko ključnih područja djelovanja: promociji i unapređenju mentalnog zdravlja, prevenciji, ranom prepoznavanju, liječenju i rehabilitaciji poremećaja ponašanja i duševnih/mentalnih poremećaja</w:t>
      </w:r>
    </w:p>
    <w:p w14:paraId="15780337">
      <w:pPr>
        <w:numPr>
          <w:ilvl w:val="0"/>
          <w:numId w:val="51"/>
        </w:numPr>
        <w:rPr>
          <w:spacing w:val="-4"/>
        </w:rPr>
      </w:pPr>
      <w:r>
        <w:rPr>
          <w:spacing w:val="-4"/>
        </w:rPr>
        <w:t>promocija mentalnog zdravlja uključuje aktivnosti na razumijevanju mentalnog zdravlja i podizanju svjesnosti o važnosti mentalnog zdravlja kao dijela općeg zdravlja, na promociji dobrog mentalnog zdravlja i blagostanja, razumijevanje problema mentalnog zdravlja i duševnih/mentalnih poremećaja, borba protiv stigme i diskriminacije</w:t>
      </w:r>
    </w:p>
    <w:p w14:paraId="381FFEDE">
      <w:pPr>
        <w:numPr>
          <w:ilvl w:val="0"/>
          <w:numId w:val="51"/>
        </w:numPr>
      </w:pPr>
      <w:r>
        <w:t>rana detekcija i intervencija uključuje aktivnosti dijagnostike psihičkih poremećaja i specifičnog psihijatrijskog tretmana</w:t>
      </w:r>
    </w:p>
    <w:p w14:paraId="3E8152BB">
      <w:pPr>
        <w:numPr>
          <w:ilvl w:val="0"/>
          <w:numId w:val="51"/>
        </w:numPr>
      </w:pPr>
      <w:r>
        <w:t>individualna, grupna i obiteljska psihoterapija</w:t>
      </w:r>
    </w:p>
    <w:p w14:paraId="024F9FBC">
      <w:pPr>
        <w:numPr>
          <w:ilvl w:val="0"/>
          <w:numId w:val="51"/>
        </w:numPr>
      </w:pPr>
      <w:r>
        <w:t>aktivnosti su usmjerene prema cjelokupnoj populaciji, ali i specifične su za određene populacijske skupine (rizične i vulnerabilne)</w:t>
      </w:r>
    </w:p>
    <w:p w14:paraId="43AFB3EE">
      <w:pPr>
        <w:numPr>
          <w:ilvl w:val="0"/>
          <w:numId w:val="51"/>
        </w:numPr>
        <w:rPr>
          <w:spacing w:val="-2"/>
        </w:rPr>
      </w:pPr>
      <w:r>
        <w:rPr>
          <w:spacing w:val="-2"/>
        </w:rPr>
        <w:t>sudjelovanje u edukaciji djelatnika različitih profila koji provode preventivne programe</w:t>
      </w:r>
    </w:p>
    <w:p w14:paraId="469699FD">
      <w:pPr>
        <w:numPr>
          <w:ilvl w:val="0"/>
          <w:numId w:val="51"/>
        </w:numPr>
      </w:pPr>
      <w:r>
        <w:t>suradnja s medijima radi usklađivanja i sudjelovanja u preventivnim kampanjama</w:t>
      </w:r>
    </w:p>
    <w:p w14:paraId="1A9E584D">
      <w:pPr>
        <w:numPr>
          <w:ilvl w:val="0"/>
          <w:numId w:val="51"/>
        </w:numPr>
      </w:pPr>
      <w:r>
        <w:t>izrada promidžbeno-edukativnih materijala.</w:t>
      </w:r>
    </w:p>
    <w:p w14:paraId="47AE5033"/>
    <w:p w14:paraId="05478049">
      <w:pPr>
        <w:rPr>
          <w:bCs/>
          <w:i/>
          <w:iCs/>
        </w:rPr>
      </w:pPr>
      <w:r>
        <w:rPr>
          <w:bCs/>
          <w:i/>
          <w:iCs/>
        </w:rPr>
        <w:t>Zaštita mentalnog zdravlja djece i mladih</w:t>
      </w:r>
    </w:p>
    <w:p w14:paraId="23111623">
      <w:r>
        <w:t>Odjel/Centar za zaštitu mentalnog zdravlja djece i mladih provodi aktivnosti po principima univerzalne, selektivne i indicirane prevencije. Obuhvaća skrb za osobe dobi od 12 do 25 godina s naglaskom na ranoj sekundarnoj prevenciji za:</w:t>
      </w:r>
    </w:p>
    <w:p w14:paraId="618AF73B">
      <w:pPr>
        <w:numPr>
          <w:ilvl w:val="0"/>
          <w:numId w:val="52"/>
        </w:numPr>
        <w:rPr>
          <w:spacing w:val="-8"/>
        </w:rPr>
      </w:pPr>
      <w:r>
        <w:rPr>
          <w:spacing w:val="-8"/>
        </w:rPr>
        <w:t>probleme u ponašanju i prevenciju zlouporabe droga kod maloljetnika i mlađih punoljetnika</w:t>
      </w:r>
    </w:p>
    <w:p w14:paraId="2B3B8D51">
      <w:pPr>
        <w:numPr>
          <w:ilvl w:val="0"/>
          <w:numId w:val="52"/>
        </w:numPr>
      </w:pPr>
      <w:r>
        <w:t>problematično kockanje i druge bihevioralne ovisnosti</w:t>
      </w:r>
    </w:p>
    <w:p w14:paraId="26A93212">
      <w:pPr>
        <w:numPr>
          <w:ilvl w:val="0"/>
          <w:numId w:val="52"/>
        </w:numPr>
      </w:pPr>
      <w:r>
        <w:t>poremećaje ponašanja vezano uz problematiku pijenja mladih</w:t>
      </w:r>
    </w:p>
    <w:p w14:paraId="43F2A79E">
      <w:pPr>
        <w:numPr>
          <w:ilvl w:val="0"/>
          <w:numId w:val="52"/>
        </w:numPr>
      </w:pPr>
      <w:r>
        <w:t>emocionalne poremećaje u adolescenciji.</w:t>
      </w:r>
    </w:p>
    <w:p w14:paraId="4F153263">
      <w:r>
        <w:t>U okviru indicirane prevencije u radu s mladim provodi se individualni i obiteljski savjetodavni tretman, modifikacija ponašanja, individualna i obiteljska psihoterapija i grupni rad s roditeljima. Ovi oblici rada poznati su kao najučinkovitiji u mijenjanju postojećih i stvaranju novih, zdravijih obrazaca ponašanja.</w:t>
      </w:r>
    </w:p>
    <w:p w14:paraId="7B3ADF92">
      <w:r>
        <w:t>Tijekom rada s adolescentima radi se na postizanju bolje samokontrole, asertivnosti te tehnikama učenja. Psihoterapijski pristup je važan za stjecanje povjerenja, ulaska u odnos s drugima u kojem je moguće testirati i izražavati emocije i dobiti novo emocionalno iskustvo.</w:t>
      </w:r>
    </w:p>
    <w:p w14:paraId="1C9FDB8D"/>
    <w:p w14:paraId="3BB67F46">
      <w:pPr>
        <w:rPr>
          <w:bCs/>
          <w:i/>
          <w:iCs/>
        </w:rPr>
      </w:pPr>
      <w:r>
        <w:rPr>
          <w:bCs/>
          <w:i/>
          <w:iCs/>
        </w:rPr>
        <w:t>Zaštita mentalnog zdravlja osoba starije životne dobi i vulnerabilnih skupina</w:t>
      </w:r>
    </w:p>
    <w:p w14:paraId="633D6C1B">
      <w:r>
        <w:t>U Odjelu/Centru za zaštitu za mentalnog zdravlja osoba starije životne dobi i vulnerablinih skupina provodi se niz aktivnosti po principima univerzalne, selektivne i indicirane prevencije.</w:t>
      </w:r>
    </w:p>
    <w:p w14:paraId="4669332E">
      <w:pPr>
        <w:numPr>
          <w:ilvl w:val="0"/>
          <w:numId w:val="53"/>
        </w:numPr>
      </w:pPr>
      <w:r>
        <w:t xml:space="preserve">mjere i aktivnosti u nekoliko ključnih područja djelovanja: promociji i unapređenju mentalnog zdravlja, prevenciji, ranom prepoznavanju, liječenju i rehabilitaciji poremećaja ponašanja i duševnih/mentalnih poremećaja, a kod osoba starije životne dobi posebna pažnja usmjerena je prema depresiji i </w:t>
      </w:r>
      <w:r>
        <w:rPr>
          <w:i/>
          <w:iCs/>
        </w:rPr>
        <w:t>Alzheimerovoj</w:t>
      </w:r>
      <w:r>
        <w:t xml:space="preserve"> bolesti</w:t>
      </w:r>
    </w:p>
    <w:p w14:paraId="4CDD50B7">
      <w:pPr>
        <w:numPr>
          <w:ilvl w:val="0"/>
          <w:numId w:val="53"/>
        </w:numPr>
      </w:pPr>
      <w:r>
        <w:t>promocija mentalnog zdravlja uključuje aktivnosti na razumijevanju mentalnog zdravlja i podizanju svjesnosti o važnosti mentalnog zdravlja kao dijela općeg zdravlja; borba protiv stigme i diskriminacije</w:t>
      </w:r>
    </w:p>
    <w:p w14:paraId="616E50A0">
      <w:pPr>
        <w:numPr>
          <w:ilvl w:val="0"/>
          <w:numId w:val="53"/>
        </w:numPr>
      </w:pPr>
      <w:r>
        <w:t>rana detekcija i intervencija uključuje aktivnosti dijagnostike psihičkih poremećaja i specifičnog psihijatrijskog liječenja</w:t>
      </w:r>
    </w:p>
    <w:p w14:paraId="6017E34A">
      <w:pPr>
        <w:numPr>
          <w:ilvl w:val="0"/>
          <w:numId w:val="53"/>
        </w:numPr>
      </w:pPr>
      <w:r>
        <w:t>individualno savjetovanje i psihoterapija</w:t>
      </w:r>
    </w:p>
    <w:p w14:paraId="0F776D92">
      <w:pPr>
        <w:numPr>
          <w:ilvl w:val="0"/>
          <w:numId w:val="53"/>
        </w:numPr>
      </w:pPr>
      <w:r>
        <w:t>savjetovališni rad s članovima obitelji</w:t>
      </w:r>
    </w:p>
    <w:p w14:paraId="73B32BCA">
      <w:pPr>
        <w:numPr>
          <w:ilvl w:val="0"/>
          <w:numId w:val="53"/>
        </w:numPr>
      </w:pPr>
      <w:r>
        <w:t>aktivnosti usmjerene prema osobama starijim od 65 godina su specifične posebice zbog pratećih komorbiditeta i drugih potreba ove populacijske skupine</w:t>
      </w:r>
    </w:p>
    <w:p w14:paraId="3BA3D59A">
      <w:pPr>
        <w:numPr>
          <w:ilvl w:val="0"/>
          <w:numId w:val="53"/>
        </w:numPr>
      </w:pPr>
      <w:r>
        <w:t>aktivnosti u 2025.godini će biti usmjerene u uspostavljanje podrške profesionalcima pomagačkih struka u području rada s osobama manjinskih skupina te sadržaja usmjerenih za pomoć pripadnika tih skupina</w:t>
      </w:r>
    </w:p>
    <w:p w14:paraId="17463A1B">
      <w:pPr>
        <w:numPr>
          <w:ilvl w:val="0"/>
          <w:numId w:val="53"/>
        </w:numPr>
        <w:rPr>
          <w:spacing w:val="-10"/>
        </w:rPr>
      </w:pPr>
      <w:r>
        <w:rPr>
          <w:spacing w:val="-10"/>
        </w:rPr>
        <w:t>ostvaruje se suradnja s liječnicima primarne zdravstvene zaštite, specijaliziranim psihogerijatrijskim bolničkim odjelima, centrima za socijalnu skrb i nevladinim organizacijama</w:t>
      </w:r>
    </w:p>
    <w:p w14:paraId="7C2FEA62">
      <w:pPr>
        <w:numPr>
          <w:ilvl w:val="0"/>
          <w:numId w:val="53"/>
        </w:numPr>
        <w:rPr>
          <w:spacing w:val="-6"/>
        </w:rPr>
      </w:pPr>
      <w:r>
        <w:rPr>
          <w:spacing w:val="-6"/>
        </w:rPr>
        <w:t>sudjelovanje u edukaciji djelatnika različitih profila koji provode preventivne programe</w:t>
      </w:r>
    </w:p>
    <w:p w14:paraId="553FA3DE">
      <w:pPr>
        <w:numPr>
          <w:ilvl w:val="0"/>
          <w:numId w:val="53"/>
        </w:numPr>
      </w:pPr>
      <w:r>
        <w:t>suradnja s medijima radi usklađivanja i sudjelovanja u preventivnim kampanjama</w:t>
      </w:r>
    </w:p>
    <w:p w14:paraId="057E55A4">
      <w:pPr>
        <w:numPr>
          <w:ilvl w:val="0"/>
          <w:numId w:val="53"/>
        </w:numPr>
      </w:pPr>
      <w:r>
        <w:t>izrada promidžbeno-edukativnih materijala.</w:t>
      </w:r>
    </w:p>
    <w:p w14:paraId="5AA82DD2"/>
    <w:p w14:paraId="00F2C8CE">
      <w:pPr>
        <w:rPr>
          <w:i/>
        </w:rPr>
      </w:pPr>
      <w:r>
        <w:rPr>
          <w:i/>
        </w:rPr>
        <w:t>Mobilni tim</w:t>
      </w:r>
    </w:p>
    <w:p w14:paraId="7D0E2F72">
      <w:pPr>
        <w:numPr>
          <w:ilvl w:val="0"/>
          <w:numId w:val="53"/>
        </w:numPr>
      </w:pPr>
      <w:r>
        <w:t>u sklopu Pilot projekta financiranog od strane Grada Zagreba uvodi se u Službi usluga mobilnog tima</w:t>
      </w:r>
    </w:p>
    <w:p w14:paraId="243F137D">
      <w:pPr>
        <w:numPr>
          <w:ilvl w:val="0"/>
          <w:numId w:val="53"/>
        </w:numPr>
      </w:pPr>
      <w:r>
        <w:t>multidisciplinarni mobilni tim čine doktor specijalist psihijatrije, psiholog te medicinska sestra, prvostupnica</w:t>
      </w:r>
    </w:p>
    <w:p w14:paraId="22DB7728">
      <w:pPr>
        <w:numPr>
          <w:ilvl w:val="0"/>
          <w:numId w:val="53"/>
        </w:numPr>
      </w:pPr>
      <w:r>
        <w:t>mobilni tim intervenira na poziv punoljetnog člana obitelji i/ili samog korisnika, a djeluje na području grada Zagreba</w:t>
      </w:r>
    </w:p>
    <w:p w14:paraId="5876FDB7">
      <w:pPr>
        <w:numPr>
          <w:ilvl w:val="0"/>
          <w:numId w:val="53"/>
        </w:numPr>
      </w:pPr>
      <w:r>
        <w:t>intervencije stručnjaka na terenu su, psihijatrijski pregled s uvođenjem ili korekcijom psihofarmakološke terapije, psihološka potpora i savjetovanje, psihosocijalne intervencije u obitelji, podrška njegovatelju i ostalo</w:t>
      </w:r>
    </w:p>
    <w:p w14:paraId="67F03A8E">
      <w:pPr>
        <w:numPr>
          <w:ilvl w:val="0"/>
          <w:numId w:val="53"/>
        </w:numPr>
      </w:pPr>
      <w:r>
        <w:t>usluge mobilnog tima namijenjene su osobama starije životne dobi i njihovim neformalnim njegovateljima</w:t>
      </w:r>
    </w:p>
    <w:p w14:paraId="06035B11">
      <w:pPr>
        <w:numPr>
          <w:ilvl w:val="0"/>
          <w:numId w:val="53"/>
        </w:numPr>
      </w:pPr>
      <w:r>
        <w:t>osobama s problemima ovisnosti (npr. radi motivacije za čuvanje apstinencije, pred izlazak iz penalnog sustava, s ograničavajućim tjelesnim stanjima, majkama tek rođene djece s problemom ovisnosti i dr.)</w:t>
      </w:r>
    </w:p>
    <w:p w14:paraId="49C949DB">
      <w:pPr>
        <w:numPr>
          <w:ilvl w:val="0"/>
          <w:numId w:val="53"/>
        </w:numPr>
      </w:pPr>
      <w:r>
        <w:t>osobama iscrpljenim zbog kronične ili onkološke bolesti, invaliditeta i teže pokretljivosti te drugim vulnerabilnim korisnicima kojima treba uključivanje u adekvatan psihijatrijski/psihološki tretman.</w:t>
      </w:r>
    </w:p>
    <w:p w14:paraId="611F2FE2"/>
    <w:p w14:paraId="047CDE6D">
      <w:pPr>
        <w:rPr>
          <w:bCs/>
          <w:i/>
        </w:rPr>
      </w:pPr>
      <w:r>
        <w:rPr>
          <w:bCs/>
          <w:i/>
        </w:rPr>
        <w:t>Posebni programi i preventivne aktivnosti</w:t>
      </w:r>
    </w:p>
    <w:p w14:paraId="456DAF99">
      <w:r>
        <w:t>Univerzalne preventivne aktivnosti u 2025. godini nastavit će se provodit putem javnozdravstvenih i medijskih aktivnosti. Aktivnosti selektivne prevencije provode se u okviru preventivnih programa, čiji se nastavak planira i u 2025. godini.</w:t>
      </w:r>
    </w:p>
    <w:p w14:paraId="1BF65CAC">
      <w:r>
        <w:t xml:space="preserve">Programi </w:t>
      </w:r>
      <w:r>
        <w:rPr>
          <w:i/>
        </w:rPr>
        <w:t xml:space="preserve">Službe: </w:t>
      </w:r>
    </w:p>
    <w:p w14:paraId="608E920B">
      <w:pPr>
        <w:numPr>
          <w:ilvl w:val="0"/>
          <w:numId w:val="54"/>
        </w:numPr>
        <w:rPr>
          <w:i/>
          <w:iCs/>
        </w:rPr>
      </w:pPr>
      <w:r>
        <w:rPr>
          <w:i/>
          <w:iCs/>
        </w:rPr>
        <w:t>Instagram</w:t>
      </w:r>
      <w:r>
        <w:t xml:space="preserve">-profil </w:t>
      </w:r>
      <w:r>
        <w:rPr>
          <w:i/>
          <w:iCs/>
        </w:rPr>
        <w:t>Mentalisti:</w:t>
      </w:r>
    </w:p>
    <w:p w14:paraId="554DEF07">
      <w:pPr>
        <w:ind w:left="709"/>
        <w:rPr>
          <w:i/>
          <w:iCs/>
        </w:rPr>
      </w:pPr>
      <w:r>
        <w:rPr>
          <w:i/>
          <w:iCs/>
        </w:rPr>
        <w:t>https://www.instagram.com/mentalisti.stampar/?hl=hr</w:t>
      </w:r>
    </w:p>
    <w:p w14:paraId="29D7B064">
      <w:pPr>
        <w:numPr>
          <w:ilvl w:val="0"/>
          <w:numId w:val="54"/>
        </w:numPr>
        <w:rPr>
          <w:i/>
          <w:iCs/>
        </w:rPr>
      </w:pPr>
      <w:r>
        <w:rPr>
          <w:i/>
          <w:iCs/>
        </w:rPr>
        <w:t>Profesor sam, pomozite!</w:t>
      </w:r>
    </w:p>
    <w:p w14:paraId="5296C5CB">
      <w:pPr>
        <w:numPr>
          <w:ilvl w:val="0"/>
          <w:numId w:val="54"/>
        </w:numPr>
        <w:rPr>
          <w:i/>
          <w:iCs/>
        </w:rPr>
      </w:pPr>
      <w:r>
        <w:rPr>
          <w:i/>
          <w:iCs/>
        </w:rPr>
        <w:t>Učim i znam</w:t>
      </w:r>
    </w:p>
    <w:p w14:paraId="7D2ED1F0">
      <w:pPr>
        <w:numPr>
          <w:ilvl w:val="0"/>
          <w:numId w:val="54"/>
        </w:numPr>
        <w:rPr>
          <w:i/>
          <w:iCs/>
        </w:rPr>
      </w:pPr>
      <w:r>
        <w:t>društvena mreža Službe</w:t>
      </w:r>
      <w:r>
        <w:rPr>
          <w:i/>
          <w:iCs/>
        </w:rPr>
        <w:t xml:space="preserve"> – Facebook: https://www.facebook.com/mentalisti.nzjz</w:t>
      </w:r>
    </w:p>
    <w:p w14:paraId="0838D230">
      <w:pPr>
        <w:numPr>
          <w:ilvl w:val="0"/>
          <w:numId w:val="54"/>
        </w:numPr>
        <w:rPr>
          <w:i/>
          <w:iCs/>
        </w:rPr>
      </w:pPr>
      <w:r>
        <w:rPr>
          <w:i/>
          <w:iCs/>
        </w:rPr>
        <w:t>Ja – roditelj</w:t>
      </w:r>
    </w:p>
    <w:p w14:paraId="06E4216E">
      <w:pPr>
        <w:numPr>
          <w:ilvl w:val="0"/>
          <w:numId w:val="54"/>
        </w:numPr>
        <w:rPr>
          <w:i/>
          <w:iCs/>
        </w:rPr>
      </w:pPr>
      <w:r>
        <w:rPr>
          <w:i/>
          <w:iCs/>
        </w:rPr>
        <w:t xml:space="preserve">Jačanje kompetencija u radu s mladima </w:t>
      </w:r>
    </w:p>
    <w:p w14:paraId="78E32FF5">
      <w:pPr>
        <w:numPr>
          <w:ilvl w:val="0"/>
          <w:numId w:val="54"/>
        </w:numPr>
        <w:rPr>
          <w:i/>
          <w:iCs/>
        </w:rPr>
      </w:pPr>
      <w:r>
        <w:rPr>
          <w:i/>
          <w:iCs/>
        </w:rPr>
        <w:t>Avantura studiranja</w:t>
      </w:r>
    </w:p>
    <w:p w14:paraId="3EB3B048">
      <w:pPr>
        <w:numPr>
          <w:ilvl w:val="0"/>
          <w:numId w:val="54"/>
        </w:numPr>
        <w:rPr>
          <w:i/>
          <w:iCs/>
        </w:rPr>
      </w:pPr>
      <w:r>
        <w:rPr>
          <w:i/>
          <w:iCs/>
        </w:rPr>
        <w:t>Škola nepušenja</w:t>
      </w:r>
      <w:r>
        <w:t>.</w:t>
      </w:r>
    </w:p>
    <w:p w14:paraId="0E7E91C0"/>
    <w:p w14:paraId="28AA3331">
      <w:pPr>
        <w:rPr>
          <w:i/>
          <w:iCs/>
        </w:rPr>
      </w:pPr>
      <w:r>
        <w:rPr>
          <w:i/>
          <w:iCs/>
        </w:rPr>
        <w:t>Kao posebni program planira se nastavak rada mobilnog tima Službe u 2025. godini za područje grada Zagreba.</w:t>
      </w:r>
    </w:p>
    <w:p w14:paraId="247A9A5F">
      <w:pPr>
        <w:rPr>
          <w:iCs/>
          <w:spacing w:val="-2"/>
        </w:rPr>
      </w:pPr>
      <w:r>
        <w:rPr>
          <w:iCs/>
          <w:spacing w:val="-2"/>
        </w:rPr>
        <w:t xml:space="preserve">Uz redovne aktivnosti posebna pažnja posvećena je obilježavanju </w:t>
      </w:r>
      <w:r>
        <w:rPr>
          <w:i/>
          <w:iCs/>
          <w:spacing w:val="-2"/>
        </w:rPr>
        <w:t>Mjeseca borbe protiv ovisnosti</w:t>
      </w:r>
      <w:r>
        <w:rPr>
          <w:iCs/>
          <w:spacing w:val="-2"/>
        </w:rPr>
        <w:t xml:space="preserve"> (15. studeni – 15. prosinac 2025. g.). </w:t>
      </w:r>
      <w:r>
        <w:rPr>
          <w:i/>
          <w:iCs/>
          <w:spacing w:val="-2"/>
        </w:rPr>
        <w:t xml:space="preserve">Služba </w:t>
      </w:r>
      <w:r>
        <w:rPr>
          <w:iCs/>
          <w:spacing w:val="-2"/>
        </w:rPr>
        <w:t>će</w:t>
      </w:r>
      <w:r>
        <w:rPr>
          <w:i/>
          <w:iCs/>
          <w:spacing w:val="-2"/>
        </w:rPr>
        <w:t xml:space="preserve"> </w:t>
      </w:r>
      <w:r>
        <w:rPr>
          <w:iCs/>
          <w:spacing w:val="-2"/>
        </w:rPr>
        <w:t xml:space="preserve">uz potporu Grada Zagreba – Gradskog ureda za socijalnu zaštitu, zdravstvo, branitelje i osobe s invaliditetom, povjerenstvo grada Zagreba za prevenciju i suzbijanje zlouporabe droga i drugih oblika ovisnosti organizirati 4. simpozij o ovisničkom ponašanju mladih te kreativno natjecanje </w:t>
      </w:r>
      <w:r>
        <w:rPr>
          <w:i/>
          <w:spacing w:val="-2"/>
        </w:rPr>
        <w:t>Škola bez ovisnosti – grad bez ovisnosti</w:t>
      </w:r>
      <w:r>
        <w:rPr>
          <w:iCs/>
          <w:spacing w:val="-2"/>
        </w:rPr>
        <w:t xml:space="preserve"> za učenike osnovnih i srednjih škola grada Zagreba.</w:t>
      </w:r>
    </w:p>
    <w:p w14:paraId="0E80F180">
      <w:pPr>
        <w:rPr>
          <w:iCs/>
        </w:rPr>
      </w:pPr>
      <w:r>
        <w:rPr>
          <w:iCs/>
        </w:rPr>
        <w:t>Planira se zajedno sa Službom za školsku i adolescentnu medicinu organizirati stručni sastanak – edukaciju o ADHD-u.</w:t>
      </w:r>
    </w:p>
    <w:p w14:paraId="03BD7DD1">
      <w:pPr>
        <w:rPr>
          <w:iCs/>
        </w:rPr>
      </w:pPr>
      <w:r>
        <w:rPr>
          <w:iCs/>
        </w:rPr>
        <w:t>Povodom obilježavanja međunarodnog dana sestrinstva u svibnju, 2025. planiran je Okrugli stol s temom sindroma sagorijevanja i prevencije rizičnih ponašanja, a u listopadu 2025. g. prigodno obilježavanje Svjetskog dana mentalnog zdravlja.</w:t>
      </w:r>
    </w:p>
    <w:p w14:paraId="179064E3">
      <w:pPr>
        <w:rPr>
          <w:iCs/>
        </w:rPr>
      </w:pPr>
    </w:p>
    <w:p w14:paraId="197B2784">
      <w:pPr>
        <w:rPr>
          <w:bCs/>
          <w:i/>
        </w:rPr>
      </w:pPr>
      <w:r>
        <w:rPr>
          <w:bCs/>
          <w:i/>
        </w:rPr>
        <w:t>Projekti ugovoreni s Ministarstvom zdravstva RH</w:t>
      </w:r>
    </w:p>
    <w:p w14:paraId="24A7BEA2">
      <w:pPr>
        <w:rPr>
          <w:spacing w:val="-6"/>
        </w:rPr>
      </w:pPr>
      <w:r>
        <w:rPr>
          <w:spacing w:val="-6"/>
        </w:rPr>
        <w:t xml:space="preserve">Projekt </w:t>
      </w:r>
      <w:r>
        <w:rPr>
          <w:i/>
          <w:spacing w:val="-6"/>
        </w:rPr>
        <w:t>Prevencija plus</w:t>
      </w:r>
      <w:r>
        <w:rPr>
          <w:spacing w:val="-6"/>
        </w:rPr>
        <w:t xml:space="preserve"> ugovoren je u sklopu natječaja programa Ministarstva zdravstva RH zdravstvenih organizacija u suradnji s udrugama u Republici Hrvatskoj za dodjelu financijskih sredstava u okviru raspoloživih sredstava iz dijela prihoda od igara na sreću u području prevencije ovisnosti i ponašajnih ovisnosti za razdoblje od </w:t>
      </w:r>
      <w:r>
        <w:rPr>
          <w:iCs/>
          <w:spacing w:val="-6"/>
        </w:rPr>
        <w:t>1. 1. 2024. do 31. 12. 2026. god</w:t>
      </w:r>
      <w:r>
        <w:rPr>
          <w:spacing w:val="-6"/>
        </w:rPr>
        <w:t>ine.</w:t>
      </w:r>
    </w:p>
    <w:p w14:paraId="583F09ED">
      <w:pPr>
        <w:rPr>
          <w:iCs/>
        </w:rPr>
      </w:pPr>
    </w:p>
    <w:p w14:paraId="056C9D3F">
      <w:pPr>
        <w:rPr>
          <w:i/>
        </w:rPr>
      </w:pPr>
      <w:r>
        <w:rPr>
          <w:i/>
        </w:rPr>
        <w:t>Planirani prihodi u 2025. godini po izvorima</w:t>
      </w:r>
    </w:p>
    <w:p w14:paraId="32D92CB0">
      <w:pPr>
        <w:numPr>
          <w:ilvl w:val="0"/>
          <w:numId w:val="55"/>
        </w:numPr>
        <w:rPr>
          <w:bCs/>
        </w:rPr>
      </w:pPr>
      <w:r>
        <w:t>HZZO – Ugovor o provođenju djelatnosti zaštite mentalnog zdravlja i prevencije ovisnosti (osam ugovorenih timova)</w:t>
      </w:r>
    </w:p>
    <w:p w14:paraId="50943B9F">
      <w:pPr>
        <w:numPr>
          <w:ilvl w:val="0"/>
          <w:numId w:val="55"/>
        </w:numPr>
        <w:rPr>
          <w:spacing w:val="-6"/>
        </w:rPr>
      </w:pPr>
      <w:r>
        <w:rPr>
          <w:spacing w:val="-6"/>
        </w:rPr>
        <w:t>Grad Zagreb; Gradski ured za zdravstvo – Ugovor o sufinanciranju Programa rada djelatnosti za mentalno zdravlje i prevenciju ovisnosti – Proračun Grada Zagreba). Programu rada Službe za mentalno zdravlje i prevenciju ovisnosti sufinanciranje redovnog rada kroz dio troškova bruto plaća za radnike Službe u ukupnom iznosu od 127.200 EUR</w:t>
      </w:r>
    </w:p>
    <w:p w14:paraId="61C01AE0">
      <w:pPr>
        <w:numPr>
          <w:ilvl w:val="0"/>
          <w:numId w:val="55"/>
        </w:numPr>
      </w:pPr>
      <w:r>
        <w:t xml:space="preserve">Financiranje mobilnog tima </w:t>
      </w:r>
      <w:r>
        <w:rPr>
          <w:i/>
        </w:rPr>
        <w:t>Službe</w:t>
      </w:r>
      <w:r>
        <w:t xml:space="preserve"> sredstvima Grada – 119.300 EUR</w:t>
      </w:r>
    </w:p>
    <w:p w14:paraId="21D3F498">
      <w:pPr>
        <w:numPr>
          <w:ilvl w:val="0"/>
          <w:numId w:val="55"/>
        </w:numPr>
      </w:pPr>
      <w:r>
        <w:t xml:space="preserve">Ministarstvo zdravstva – Projekt </w:t>
      </w:r>
      <w:r>
        <w:rPr>
          <w:i/>
          <w:iCs/>
        </w:rPr>
        <w:t>Prevencija plus</w:t>
      </w:r>
      <w:r>
        <w:t xml:space="preserve"> koji se provodi u vremenskom razdoblju od </w:t>
      </w:r>
      <w:r>
        <w:rPr>
          <w:i/>
          <w:iCs/>
        </w:rPr>
        <w:t xml:space="preserve">1. 1. 2024. do 31. 12. 2026. god. – </w:t>
      </w:r>
      <w:r>
        <w:rPr>
          <w:iCs/>
        </w:rPr>
        <w:t>105.000 EUR</w:t>
      </w:r>
      <w:r>
        <w:t xml:space="preserve"> po godini.</w:t>
      </w:r>
    </w:p>
    <w:p w14:paraId="5B5B304D"/>
    <w:p w14:paraId="5530737D">
      <w:pPr>
        <w:pStyle w:val="147"/>
      </w:pPr>
      <w:r>
        <w:t>ZAKONSKA PODLOGA NA KOJOJ SE ZASNIVA PROGRAM RADA SLUŽBE</w:t>
      </w:r>
    </w:p>
    <w:p w14:paraId="3ECB62B2">
      <w:pPr>
        <w:numPr>
          <w:ilvl w:val="0"/>
          <w:numId w:val="56"/>
        </w:numPr>
      </w:pPr>
      <w:r>
        <w:t>Zakon o izmjenama i dopunama Zakona o zdravstvenoj zaštiti (NN 33/23)</w:t>
      </w:r>
    </w:p>
    <w:p w14:paraId="1B9609CD">
      <w:pPr>
        <w:numPr>
          <w:ilvl w:val="0"/>
          <w:numId w:val="56"/>
        </w:numPr>
      </w:pPr>
      <w:r>
        <w:t>Zakon o zdravstvenoj zaštiti (NN 100/18 i dopune)</w:t>
      </w:r>
    </w:p>
    <w:p w14:paraId="6602CDB8">
      <w:pPr>
        <w:numPr>
          <w:ilvl w:val="0"/>
          <w:numId w:val="56"/>
        </w:numPr>
      </w:pPr>
      <w:r>
        <w:t>Zakon o zdravstvenom osiguranju (NN 80/13 i dopune)</w:t>
      </w:r>
    </w:p>
    <w:p w14:paraId="149AFA4B">
      <w:pPr>
        <w:numPr>
          <w:ilvl w:val="0"/>
          <w:numId w:val="56"/>
        </w:numPr>
      </w:pPr>
      <w:r>
        <w:t>Plan i program mjera zdravstvene zaštite 2023. – 2026. (NN 127/23)</w:t>
      </w:r>
    </w:p>
    <w:p w14:paraId="1880B8AF">
      <w:pPr>
        <w:numPr>
          <w:ilvl w:val="0"/>
          <w:numId w:val="56"/>
        </w:numPr>
      </w:pPr>
      <w:r>
        <w:t>Mreža javne zdravstvene službe (NN 49/24)</w:t>
      </w:r>
    </w:p>
    <w:p w14:paraId="1D39D636">
      <w:pPr>
        <w:numPr>
          <w:ilvl w:val="0"/>
          <w:numId w:val="56"/>
        </w:numPr>
      </w:pPr>
      <w:r>
        <w:t>Odluka o osnovama za sklapanje ugovora o provođenju zdravstvene zaštite iz obveznog zdravstvenog osiguranja: (NN 56/17)</w:t>
      </w:r>
    </w:p>
    <w:p w14:paraId="4EDB97C7">
      <w:pPr>
        <w:numPr>
          <w:ilvl w:val="0"/>
          <w:numId w:val="56"/>
        </w:numPr>
      </w:pPr>
      <w:r>
        <w:t>Strateški okvir razvoja mentalnog zdravlja 2022. – 2030.</w:t>
      </w:r>
    </w:p>
    <w:p w14:paraId="595A960B">
      <w:pPr>
        <w:numPr>
          <w:ilvl w:val="0"/>
          <w:numId w:val="56"/>
        </w:numPr>
        <w:rPr>
          <w:spacing w:val="-12"/>
        </w:rPr>
      </w:pPr>
      <w:r>
        <w:rPr>
          <w:spacing w:val="-12"/>
        </w:rPr>
        <w:t>Nacionalna strategija djelovanja na području ovisnosti za razdoblje do 2030. godine (NN 18/23).</w:t>
      </w:r>
    </w:p>
    <w:p w14:paraId="3FB36AA4">
      <w:r>
        <w:br w:type="page"/>
      </w:r>
    </w:p>
    <w:p w14:paraId="5CB9A22E"/>
    <w:p w14:paraId="3C74376B">
      <w:pPr>
        <w:pStyle w:val="147"/>
        <w:jc w:val="left"/>
      </w:pPr>
      <w:r>
        <w:t>USKLAĐENOST CILJEVA, STRATEGIJE PROGRAMA S DOKUMENTIMA DUGOROČNOG RAZVOJA</w:t>
      </w:r>
    </w:p>
    <w:p w14:paraId="517ED159">
      <w:pPr>
        <w:rPr>
          <w:spacing w:val="-2"/>
        </w:rPr>
      </w:pPr>
      <w:r>
        <w:rPr>
          <w:spacing w:val="-2"/>
        </w:rPr>
        <w:t xml:space="preserve">Plan rada i obavljanja djelatnosti usko je povezan i usklađen sa svim prethodno navedenim strateškim dokumentima; plan rada i aktivnosti usklađen je s </w:t>
      </w:r>
      <w:r>
        <w:rPr>
          <w:i/>
          <w:iCs/>
          <w:spacing w:val="-2"/>
        </w:rPr>
        <w:t>Europskim paktom za mentalno zdravlje</w:t>
      </w:r>
      <w:r>
        <w:rPr>
          <w:spacing w:val="-2"/>
        </w:rPr>
        <w:t xml:space="preserve"> koji izdvaja pet prioritetnih područja u zaštiti mentalnog zdravlja:</w:t>
      </w:r>
    </w:p>
    <w:p w14:paraId="09321622">
      <w:pPr>
        <w:numPr>
          <w:ilvl w:val="0"/>
          <w:numId w:val="57"/>
        </w:numPr>
      </w:pPr>
      <w:r>
        <w:t>prevenciju depresije i samoubojstava</w:t>
      </w:r>
    </w:p>
    <w:p w14:paraId="6187BED0">
      <w:pPr>
        <w:numPr>
          <w:ilvl w:val="0"/>
          <w:numId w:val="57"/>
        </w:numPr>
      </w:pPr>
      <w:r>
        <w:t>mentalno zdravlje u mladosti i obrazovanju</w:t>
      </w:r>
    </w:p>
    <w:p w14:paraId="2FB00EB3">
      <w:pPr>
        <w:numPr>
          <w:ilvl w:val="0"/>
          <w:numId w:val="57"/>
        </w:numPr>
      </w:pPr>
      <w:r>
        <w:t>mentalno zdravlje na radnom mjestu</w:t>
      </w:r>
    </w:p>
    <w:p w14:paraId="1030BA67">
      <w:pPr>
        <w:numPr>
          <w:ilvl w:val="0"/>
          <w:numId w:val="57"/>
        </w:numPr>
        <w:rPr>
          <w:u w:val="single"/>
        </w:rPr>
      </w:pPr>
      <w:r>
        <w:t>mentalno zdravlje starijih</w:t>
      </w:r>
    </w:p>
    <w:p w14:paraId="386BBEEF">
      <w:pPr>
        <w:numPr>
          <w:ilvl w:val="0"/>
          <w:numId w:val="57"/>
        </w:numPr>
        <w:rPr>
          <w:u w:val="single"/>
        </w:rPr>
      </w:pPr>
      <w:r>
        <w:t>suprotstavljanje stigmi i socijalnoj isključenosti.</w:t>
      </w:r>
    </w:p>
    <w:p w14:paraId="42BE2127"/>
    <w:p w14:paraId="3939307D">
      <w:pPr>
        <w:pStyle w:val="147"/>
      </w:pPr>
      <w:r>
        <w:t>ISHODIŠTE I POKAZATELJI NA KOJIMA SE ZASNIVAJU IZRAČUNI I OCJENE POTREBNIH SREDSTAVA ZA PROVOĐENJE PROGRAMA</w:t>
      </w:r>
    </w:p>
    <w:p w14:paraId="6205FC55">
      <w:r>
        <w:t>Svaka od aktivnosti prati se na mjesečnoj, kvartalnoj i godišnjoj razini u smislu broja izvršenih aktivnosti i obuhvata ciljne populacije.</w:t>
      </w:r>
    </w:p>
    <w:p w14:paraId="1AAE2950">
      <w:pPr>
        <w:rPr>
          <w:spacing w:val="-2"/>
        </w:rPr>
      </w:pPr>
      <w:r>
        <w:rPr>
          <w:spacing w:val="-2"/>
        </w:rPr>
        <w:t>Izvještaji se mjesečno dostavljaju u HZZO, HZJZ, Gradski ured za zdravstvo te kumulativno polugodišnji i godišnji u Gradski ured za zdravstvo, HZJZ i Ministarstvo zdravlja.</w:t>
      </w:r>
    </w:p>
    <w:p w14:paraId="2673B323">
      <w:r>
        <w:t>Tromjesečni, šestomjesečni, devetomjesečni i godišnji izvještaji o poslovanju se dostavljaju Upravi Zavoda.</w:t>
      </w:r>
    </w:p>
    <w:p w14:paraId="3FAC0DB9">
      <w:r>
        <w:t xml:space="preserve">Godišnji se izvještaji uz analizu i komentare objavljuju u </w:t>
      </w:r>
      <w:r>
        <w:rPr>
          <w:i/>
          <w:iCs/>
        </w:rPr>
        <w:t>Zdravstveno-statističkom ljetopisu Grada Zagreba</w:t>
      </w:r>
      <w:r>
        <w:t>.</w:t>
      </w:r>
    </w:p>
    <w:p w14:paraId="46973B0A">
      <w:r>
        <w:t>Izvršenje programa registrira se i prati u standardiziranom kompjutorskom programu te u evidenciji održanih preventivnih i drugih aktivnosti.</w:t>
      </w:r>
    </w:p>
    <w:p w14:paraId="7D84C767">
      <w:r>
        <w:br w:type="page"/>
      </w:r>
    </w:p>
    <w:p w14:paraId="5F58E816">
      <w:pPr>
        <w:pStyle w:val="147"/>
      </w:pPr>
      <w:r>
        <w:t>IZVJEŠTAJ O POSTIGNUTIM CILJEVIMA I REZULTATIMA PROGRAMA TEMELJENIM NA POKAZATELJIMA USPJEŠNOSTI U PRETHODNOJ GODINI</w:t>
      </w:r>
    </w:p>
    <w:p w14:paraId="70CC753F">
      <w:pPr>
        <w:rPr>
          <w:bCs/>
        </w:rPr>
      </w:pPr>
      <w:r>
        <w:rPr>
          <w:bCs/>
        </w:rPr>
        <w:t>Izvještaji se temelje na uslugama Službe za mentalno zdravlje i prevenciju ovisnosti, a one su sastavni dio mjesečnih, kvartalnih i godišnjih izvještaja.</w:t>
      </w:r>
    </w:p>
    <w:p w14:paraId="6EBAE93F">
      <w:pPr>
        <w:rPr>
          <w:bCs/>
        </w:rPr>
      </w:pPr>
    </w:p>
    <w:p w14:paraId="1392FD5E">
      <w:pPr>
        <w:rPr>
          <w:i/>
          <w:iCs/>
        </w:rPr>
      </w:pPr>
      <w:r>
        <w:rPr>
          <w:i/>
          <w:iCs/>
        </w:rPr>
        <w:t>Tablica – Realizirane usluge u razdoblju od 1. 1. do 30. 11. 2024. godine i planirane u 2025. godini</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5"/>
        <w:gridCol w:w="1453"/>
        <w:gridCol w:w="1494"/>
        <w:gridCol w:w="1406"/>
      </w:tblGrid>
      <w:tr w14:paraId="79F6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2657" w:type="pct"/>
            <w:tcBorders>
              <w:bottom w:val="double" w:color="auto" w:sz="4" w:space="0"/>
            </w:tcBorders>
            <w:shd w:val="clear" w:color="auto" w:fill="auto"/>
            <w:vAlign w:val="center"/>
          </w:tcPr>
          <w:p w14:paraId="04CE1ECC">
            <w:pPr>
              <w:pStyle w:val="150"/>
              <w:jc w:val="left"/>
              <w:rPr>
                <w:i/>
                <w:iCs w:val="0"/>
                <w:sz w:val="20"/>
                <w:szCs w:val="20"/>
              </w:rPr>
            </w:pPr>
            <w:r>
              <w:rPr>
                <w:i/>
                <w:iCs w:val="0"/>
                <w:sz w:val="20"/>
                <w:szCs w:val="20"/>
              </w:rPr>
              <w:t>Naziv usluge</w:t>
            </w:r>
          </w:p>
        </w:tc>
        <w:tc>
          <w:tcPr>
            <w:tcW w:w="782" w:type="pct"/>
            <w:tcBorders>
              <w:bottom w:val="double" w:color="auto" w:sz="4" w:space="0"/>
            </w:tcBorders>
            <w:shd w:val="clear" w:color="auto" w:fill="auto"/>
            <w:vAlign w:val="center"/>
          </w:tcPr>
          <w:p w14:paraId="728024B0">
            <w:pPr>
              <w:pStyle w:val="150"/>
              <w:jc w:val="left"/>
              <w:rPr>
                <w:i/>
                <w:iCs w:val="0"/>
                <w:sz w:val="20"/>
                <w:szCs w:val="20"/>
              </w:rPr>
            </w:pPr>
            <w:r>
              <w:rPr>
                <w:i/>
                <w:iCs w:val="0"/>
                <w:sz w:val="20"/>
                <w:szCs w:val="20"/>
              </w:rPr>
              <w:t>Šifra</w:t>
            </w:r>
          </w:p>
        </w:tc>
        <w:tc>
          <w:tcPr>
            <w:tcW w:w="804" w:type="pct"/>
            <w:tcBorders>
              <w:bottom w:val="double" w:color="auto" w:sz="4" w:space="0"/>
            </w:tcBorders>
            <w:shd w:val="clear" w:color="auto" w:fill="auto"/>
            <w:vAlign w:val="center"/>
          </w:tcPr>
          <w:p w14:paraId="390C7710">
            <w:pPr>
              <w:pStyle w:val="150"/>
              <w:rPr>
                <w:i/>
                <w:iCs w:val="0"/>
                <w:sz w:val="20"/>
                <w:szCs w:val="20"/>
              </w:rPr>
            </w:pPr>
            <w:r>
              <w:rPr>
                <w:i/>
                <w:iCs w:val="0"/>
                <w:sz w:val="20"/>
                <w:szCs w:val="20"/>
              </w:rPr>
              <w:t>Realizirano do 30. 11. 2024.</w:t>
            </w:r>
          </w:p>
        </w:tc>
        <w:tc>
          <w:tcPr>
            <w:tcW w:w="757" w:type="pct"/>
            <w:tcBorders>
              <w:bottom w:val="double" w:color="auto" w:sz="4" w:space="0"/>
            </w:tcBorders>
            <w:vAlign w:val="center"/>
          </w:tcPr>
          <w:p w14:paraId="2E4075DC">
            <w:pPr>
              <w:pStyle w:val="150"/>
              <w:rPr>
                <w:i/>
                <w:iCs w:val="0"/>
                <w:sz w:val="20"/>
                <w:szCs w:val="20"/>
              </w:rPr>
            </w:pPr>
            <w:r>
              <w:rPr>
                <w:i/>
                <w:iCs w:val="0"/>
                <w:sz w:val="20"/>
                <w:szCs w:val="20"/>
              </w:rPr>
              <w:t>Planirano u 2025.</w:t>
            </w:r>
          </w:p>
        </w:tc>
      </w:tr>
      <w:tr w14:paraId="0CEC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tcBorders>
              <w:top w:val="double" w:color="auto" w:sz="4" w:space="0"/>
            </w:tcBorders>
            <w:shd w:val="clear" w:color="auto" w:fill="auto"/>
            <w:vAlign w:val="center"/>
          </w:tcPr>
          <w:p w14:paraId="7500ABFD">
            <w:pPr>
              <w:pStyle w:val="150"/>
              <w:jc w:val="left"/>
              <w:rPr>
                <w:sz w:val="20"/>
                <w:szCs w:val="20"/>
              </w:rPr>
            </w:pPr>
            <w:r>
              <w:rPr>
                <w:sz w:val="20"/>
                <w:szCs w:val="20"/>
              </w:rPr>
              <w:t>Prva ambulantna psihijatrijska obrada</w:t>
            </w:r>
          </w:p>
        </w:tc>
        <w:tc>
          <w:tcPr>
            <w:tcW w:w="782" w:type="pct"/>
            <w:tcBorders>
              <w:top w:val="double" w:color="auto" w:sz="4" w:space="0"/>
            </w:tcBorders>
            <w:shd w:val="clear" w:color="auto" w:fill="auto"/>
            <w:vAlign w:val="center"/>
          </w:tcPr>
          <w:p w14:paraId="35D30BF6">
            <w:pPr>
              <w:pStyle w:val="150"/>
              <w:jc w:val="left"/>
              <w:rPr>
                <w:sz w:val="20"/>
                <w:szCs w:val="20"/>
              </w:rPr>
            </w:pPr>
            <w:r>
              <w:rPr>
                <w:sz w:val="20"/>
                <w:szCs w:val="20"/>
              </w:rPr>
              <w:t>11021</w:t>
            </w:r>
          </w:p>
        </w:tc>
        <w:tc>
          <w:tcPr>
            <w:tcW w:w="804" w:type="pct"/>
            <w:tcBorders>
              <w:top w:val="double" w:color="auto" w:sz="4" w:space="0"/>
            </w:tcBorders>
            <w:shd w:val="clear" w:color="auto" w:fill="auto"/>
            <w:vAlign w:val="center"/>
          </w:tcPr>
          <w:p w14:paraId="7C7EAA5D">
            <w:pPr>
              <w:pStyle w:val="150"/>
              <w:rPr>
                <w:sz w:val="20"/>
                <w:szCs w:val="20"/>
              </w:rPr>
            </w:pPr>
            <w:r>
              <w:rPr>
                <w:sz w:val="20"/>
                <w:szCs w:val="20"/>
              </w:rPr>
              <w:t>1.286</w:t>
            </w:r>
          </w:p>
        </w:tc>
        <w:tc>
          <w:tcPr>
            <w:tcW w:w="757" w:type="pct"/>
            <w:tcBorders>
              <w:top w:val="double" w:color="auto" w:sz="4" w:space="0"/>
            </w:tcBorders>
            <w:vAlign w:val="center"/>
          </w:tcPr>
          <w:p w14:paraId="225AB55D">
            <w:pPr>
              <w:pStyle w:val="150"/>
              <w:rPr>
                <w:sz w:val="20"/>
                <w:szCs w:val="20"/>
              </w:rPr>
            </w:pPr>
            <w:r>
              <w:rPr>
                <w:sz w:val="20"/>
                <w:szCs w:val="20"/>
              </w:rPr>
              <w:t>1.300</w:t>
            </w:r>
          </w:p>
        </w:tc>
      </w:tr>
      <w:tr w14:paraId="6E62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6395B299">
            <w:pPr>
              <w:pStyle w:val="150"/>
              <w:jc w:val="left"/>
              <w:rPr>
                <w:sz w:val="20"/>
                <w:szCs w:val="20"/>
              </w:rPr>
            </w:pPr>
            <w:r>
              <w:rPr>
                <w:sz w:val="20"/>
                <w:szCs w:val="20"/>
              </w:rPr>
              <w:t>Ponovni ambulantni psihijatrijski pregled</w:t>
            </w:r>
          </w:p>
        </w:tc>
        <w:tc>
          <w:tcPr>
            <w:tcW w:w="782" w:type="pct"/>
            <w:shd w:val="clear" w:color="auto" w:fill="auto"/>
            <w:vAlign w:val="center"/>
          </w:tcPr>
          <w:p w14:paraId="00F176AC">
            <w:pPr>
              <w:pStyle w:val="150"/>
              <w:jc w:val="left"/>
              <w:rPr>
                <w:sz w:val="20"/>
                <w:szCs w:val="20"/>
              </w:rPr>
            </w:pPr>
            <w:r>
              <w:rPr>
                <w:sz w:val="20"/>
                <w:szCs w:val="20"/>
              </w:rPr>
              <w:t>11022</w:t>
            </w:r>
          </w:p>
        </w:tc>
        <w:tc>
          <w:tcPr>
            <w:tcW w:w="804" w:type="pct"/>
            <w:shd w:val="clear" w:color="auto" w:fill="auto"/>
            <w:vAlign w:val="center"/>
          </w:tcPr>
          <w:p w14:paraId="4A6244DA">
            <w:pPr>
              <w:pStyle w:val="150"/>
              <w:rPr>
                <w:sz w:val="20"/>
                <w:szCs w:val="20"/>
              </w:rPr>
            </w:pPr>
            <w:r>
              <w:rPr>
                <w:sz w:val="20"/>
                <w:szCs w:val="20"/>
              </w:rPr>
              <w:t>7.565</w:t>
            </w:r>
          </w:p>
        </w:tc>
        <w:tc>
          <w:tcPr>
            <w:tcW w:w="757" w:type="pct"/>
            <w:vAlign w:val="center"/>
          </w:tcPr>
          <w:p w14:paraId="36F84B05">
            <w:pPr>
              <w:pStyle w:val="150"/>
              <w:rPr>
                <w:sz w:val="20"/>
                <w:szCs w:val="20"/>
              </w:rPr>
            </w:pPr>
            <w:r>
              <w:rPr>
                <w:sz w:val="20"/>
                <w:szCs w:val="20"/>
              </w:rPr>
              <w:t>7.700</w:t>
            </w:r>
          </w:p>
        </w:tc>
      </w:tr>
      <w:tr w14:paraId="353F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F470BE9">
            <w:pPr>
              <w:pStyle w:val="150"/>
              <w:jc w:val="left"/>
              <w:rPr>
                <w:sz w:val="20"/>
                <w:szCs w:val="20"/>
              </w:rPr>
            </w:pPr>
            <w:r>
              <w:rPr>
                <w:sz w:val="20"/>
                <w:szCs w:val="20"/>
              </w:rPr>
              <w:t xml:space="preserve">Konzultacija s liječnikom specijalistom </w:t>
            </w:r>
          </w:p>
        </w:tc>
        <w:tc>
          <w:tcPr>
            <w:tcW w:w="782" w:type="pct"/>
            <w:shd w:val="clear" w:color="auto" w:fill="auto"/>
            <w:vAlign w:val="center"/>
          </w:tcPr>
          <w:p w14:paraId="43A0DADC">
            <w:pPr>
              <w:pStyle w:val="150"/>
              <w:jc w:val="left"/>
              <w:rPr>
                <w:sz w:val="20"/>
                <w:szCs w:val="20"/>
              </w:rPr>
            </w:pPr>
            <w:r>
              <w:rPr>
                <w:sz w:val="20"/>
                <w:szCs w:val="20"/>
              </w:rPr>
              <w:t>11602</w:t>
            </w:r>
          </w:p>
        </w:tc>
        <w:tc>
          <w:tcPr>
            <w:tcW w:w="804" w:type="pct"/>
            <w:shd w:val="clear" w:color="auto" w:fill="auto"/>
            <w:vAlign w:val="center"/>
          </w:tcPr>
          <w:p w14:paraId="0CF9155F">
            <w:pPr>
              <w:pStyle w:val="150"/>
              <w:rPr>
                <w:sz w:val="20"/>
                <w:szCs w:val="20"/>
              </w:rPr>
            </w:pPr>
            <w:r>
              <w:rPr>
                <w:sz w:val="20"/>
                <w:szCs w:val="20"/>
              </w:rPr>
              <w:t>1.651</w:t>
            </w:r>
          </w:p>
        </w:tc>
        <w:tc>
          <w:tcPr>
            <w:tcW w:w="757" w:type="pct"/>
            <w:vAlign w:val="center"/>
          </w:tcPr>
          <w:p w14:paraId="4AB5A31F">
            <w:pPr>
              <w:pStyle w:val="150"/>
              <w:rPr>
                <w:sz w:val="20"/>
                <w:szCs w:val="20"/>
              </w:rPr>
            </w:pPr>
            <w:r>
              <w:rPr>
                <w:sz w:val="20"/>
                <w:szCs w:val="20"/>
              </w:rPr>
              <w:t>1.700</w:t>
            </w:r>
          </w:p>
        </w:tc>
      </w:tr>
      <w:tr w14:paraId="466A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66C1460F">
            <w:pPr>
              <w:pStyle w:val="150"/>
              <w:jc w:val="left"/>
              <w:rPr>
                <w:sz w:val="20"/>
                <w:szCs w:val="20"/>
              </w:rPr>
            </w:pPr>
            <w:r>
              <w:rPr>
                <w:sz w:val="20"/>
                <w:szCs w:val="20"/>
              </w:rPr>
              <w:t>Konzultacije s djelatnicima u zdravstvu</w:t>
            </w:r>
          </w:p>
        </w:tc>
        <w:tc>
          <w:tcPr>
            <w:tcW w:w="782" w:type="pct"/>
            <w:shd w:val="clear" w:color="auto" w:fill="auto"/>
            <w:vAlign w:val="center"/>
          </w:tcPr>
          <w:p w14:paraId="1FA9899D">
            <w:pPr>
              <w:pStyle w:val="150"/>
              <w:jc w:val="left"/>
              <w:rPr>
                <w:sz w:val="20"/>
                <w:szCs w:val="20"/>
              </w:rPr>
            </w:pPr>
          </w:p>
        </w:tc>
        <w:tc>
          <w:tcPr>
            <w:tcW w:w="804" w:type="pct"/>
            <w:shd w:val="clear" w:color="auto" w:fill="auto"/>
            <w:vAlign w:val="center"/>
          </w:tcPr>
          <w:p w14:paraId="46110F8C">
            <w:pPr>
              <w:pStyle w:val="150"/>
              <w:rPr>
                <w:sz w:val="20"/>
                <w:szCs w:val="20"/>
              </w:rPr>
            </w:pPr>
            <w:r>
              <w:rPr>
                <w:sz w:val="20"/>
                <w:szCs w:val="20"/>
              </w:rPr>
              <w:t>266</w:t>
            </w:r>
          </w:p>
        </w:tc>
        <w:tc>
          <w:tcPr>
            <w:tcW w:w="757" w:type="pct"/>
            <w:vAlign w:val="center"/>
          </w:tcPr>
          <w:p w14:paraId="178E3A97">
            <w:pPr>
              <w:pStyle w:val="150"/>
              <w:rPr>
                <w:sz w:val="20"/>
                <w:szCs w:val="20"/>
              </w:rPr>
            </w:pPr>
            <w:r>
              <w:rPr>
                <w:sz w:val="20"/>
                <w:szCs w:val="20"/>
              </w:rPr>
              <w:t>280</w:t>
            </w:r>
          </w:p>
        </w:tc>
      </w:tr>
      <w:tr w14:paraId="420F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7AE49C8C">
            <w:pPr>
              <w:pStyle w:val="150"/>
              <w:jc w:val="left"/>
              <w:rPr>
                <w:sz w:val="20"/>
                <w:szCs w:val="20"/>
              </w:rPr>
            </w:pPr>
            <w:r>
              <w:rPr>
                <w:sz w:val="20"/>
                <w:szCs w:val="20"/>
              </w:rPr>
              <w:t>Konzultacije s djelatnicima iz drugih resora (CZSS, obrazovne ustanove i sl.)</w:t>
            </w:r>
          </w:p>
        </w:tc>
        <w:tc>
          <w:tcPr>
            <w:tcW w:w="782" w:type="pct"/>
            <w:shd w:val="clear" w:color="auto" w:fill="auto"/>
            <w:vAlign w:val="center"/>
          </w:tcPr>
          <w:p w14:paraId="2F56A69D">
            <w:pPr>
              <w:pStyle w:val="150"/>
              <w:jc w:val="left"/>
              <w:rPr>
                <w:sz w:val="20"/>
                <w:szCs w:val="20"/>
              </w:rPr>
            </w:pPr>
          </w:p>
        </w:tc>
        <w:tc>
          <w:tcPr>
            <w:tcW w:w="804" w:type="pct"/>
            <w:shd w:val="clear" w:color="auto" w:fill="auto"/>
            <w:vAlign w:val="center"/>
          </w:tcPr>
          <w:p w14:paraId="2A42A356">
            <w:pPr>
              <w:pStyle w:val="150"/>
              <w:rPr>
                <w:sz w:val="20"/>
                <w:szCs w:val="20"/>
              </w:rPr>
            </w:pPr>
            <w:r>
              <w:rPr>
                <w:sz w:val="20"/>
                <w:szCs w:val="20"/>
              </w:rPr>
              <w:t>283</w:t>
            </w:r>
          </w:p>
        </w:tc>
        <w:tc>
          <w:tcPr>
            <w:tcW w:w="757" w:type="pct"/>
            <w:vAlign w:val="center"/>
          </w:tcPr>
          <w:p w14:paraId="5980ECF6">
            <w:pPr>
              <w:pStyle w:val="150"/>
              <w:rPr>
                <w:sz w:val="20"/>
                <w:szCs w:val="20"/>
              </w:rPr>
            </w:pPr>
            <w:r>
              <w:rPr>
                <w:sz w:val="20"/>
                <w:szCs w:val="20"/>
              </w:rPr>
              <w:t>300</w:t>
            </w:r>
          </w:p>
        </w:tc>
      </w:tr>
      <w:tr w14:paraId="0DF1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7" w:type="pct"/>
            <w:shd w:val="clear" w:color="auto" w:fill="auto"/>
            <w:vAlign w:val="center"/>
          </w:tcPr>
          <w:p w14:paraId="68D166BF">
            <w:pPr>
              <w:pStyle w:val="150"/>
              <w:jc w:val="left"/>
              <w:rPr>
                <w:sz w:val="20"/>
                <w:szCs w:val="20"/>
              </w:rPr>
            </w:pPr>
            <w:r>
              <w:rPr>
                <w:sz w:val="20"/>
                <w:szCs w:val="20"/>
              </w:rPr>
              <w:t>Psihoterapija-površinska</w:t>
            </w:r>
          </w:p>
        </w:tc>
        <w:tc>
          <w:tcPr>
            <w:tcW w:w="782" w:type="pct"/>
            <w:shd w:val="clear" w:color="auto" w:fill="auto"/>
            <w:vAlign w:val="center"/>
          </w:tcPr>
          <w:p w14:paraId="445FA4BF">
            <w:pPr>
              <w:pStyle w:val="150"/>
              <w:jc w:val="left"/>
              <w:rPr>
                <w:sz w:val="20"/>
                <w:szCs w:val="20"/>
              </w:rPr>
            </w:pPr>
            <w:r>
              <w:rPr>
                <w:sz w:val="20"/>
                <w:szCs w:val="20"/>
              </w:rPr>
              <w:t>96090</w:t>
            </w:r>
          </w:p>
        </w:tc>
        <w:tc>
          <w:tcPr>
            <w:tcW w:w="804" w:type="pct"/>
            <w:shd w:val="clear" w:color="auto" w:fill="auto"/>
            <w:vAlign w:val="center"/>
          </w:tcPr>
          <w:p w14:paraId="24401ACA">
            <w:pPr>
              <w:pStyle w:val="150"/>
              <w:rPr>
                <w:sz w:val="20"/>
                <w:szCs w:val="20"/>
              </w:rPr>
            </w:pPr>
            <w:r>
              <w:rPr>
                <w:sz w:val="20"/>
                <w:szCs w:val="20"/>
              </w:rPr>
              <w:t>1.005</w:t>
            </w:r>
          </w:p>
        </w:tc>
        <w:tc>
          <w:tcPr>
            <w:tcW w:w="757" w:type="pct"/>
            <w:vAlign w:val="center"/>
          </w:tcPr>
          <w:p w14:paraId="4A508455">
            <w:pPr>
              <w:pStyle w:val="150"/>
              <w:rPr>
                <w:sz w:val="20"/>
                <w:szCs w:val="20"/>
              </w:rPr>
            </w:pPr>
            <w:r>
              <w:rPr>
                <w:sz w:val="20"/>
                <w:szCs w:val="20"/>
              </w:rPr>
              <w:t>1.100</w:t>
            </w:r>
          </w:p>
        </w:tc>
      </w:tr>
      <w:tr w14:paraId="105B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09858270">
            <w:pPr>
              <w:pStyle w:val="150"/>
              <w:jc w:val="left"/>
              <w:rPr>
                <w:sz w:val="20"/>
                <w:szCs w:val="20"/>
              </w:rPr>
            </w:pPr>
            <w:r>
              <w:rPr>
                <w:sz w:val="20"/>
                <w:szCs w:val="20"/>
              </w:rPr>
              <w:t>Psihoterapija ponašanja</w:t>
            </w:r>
          </w:p>
        </w:tc>
        <w:tc>
          <w:tcPr>
            <w:tcW w:w="782" w:type="pct"/>
            <w:shd w:val="clear" w:color="auto" w:fill="auto"/>
            <w:vAlign w:val="center"/>
          </w:tcPr>
          <w:p w14:paraId="61E9B6D6">
            <w:pPr>
              <w:pStyle w:val="150"/>
              <w:jc w:val="left"/>
              <w:rPr>
                <w:sz w:val="20"/>
                <w:szCs w:val="20"/>
              </w:rPr>
            </w:pPr>
            <w:r>
              <w:rPr>
                <w:sz w:val="20"/>
                <w:szCs w:val="20"/>
              </w:rPr>
              <w:t>96190</w:t>
            </w:r>
          </w:p>
        </w:tc>
        <w:tc>
          <w:tcPr>
            <w:tcW w:w="804" w:type="pct"/>
            <w:shd w:val="clear" w:color="auto" w:fill="auto"/>
            <w:vAlign w:val="center"/>
          </w:tcPr>
          <w:p w14:paraId="5E1819C4">
            <w:pPr>
              <w:pStyle w:val="150"/>
              <w:rPr>
                <w:sz w:val="20"/>
                <w:szCs w:val="20"/>
              </w:rPr>
            </w:pPr>
            <w:r>
              <w:rPr>
                <w:sz w:val="20"/>
                <w:szCs w:val="20"/>
              </w:rPr>
              <w:t>8.191</w:t>
            </w:r>
          </w:p>
        </w:tc>
        <w:tc>
          <w:tcPr>
            <w:tcW w:w="757" w:type="pct"/>
            <w:vAlign w:val="center"/>
          </w:tcPr>
          <w:p w14:paraId="5DA14EDD">
            <w:pPr>
              <w:pStyle w:val="150"/>
              <w:rPr>
                <w:sz w:val="20"/>
                <w:szCs w:val="20"/>
              </w:rPr>
            </w:pPr>
            <w:r>
              <w:rPr>
                <w:sz w:val="20"/>
                <w:szCs w:val="20"/>
              </w:rPr>
              <w:t>8.200</w:t>
            </w:r>
          </w:p>
        </w:tc>
      </w:tr>
      <w:tr w14:paraId="799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1E547F4F">
            <w:pPr>
              <w:pStyle w:val="150"/>
              <w:jc w:val="left"/>
              <w:rPr>
                <w:sz w:val="20"/>
                <w:szCs w:val="20"/>
              </w:rPr>
            </w:pPr>
            <w:r>
              <w:rPr>
                <w:sz w:val="20"/>
                <w:szCs w:val="20"/>
              </w:rPr>
              <w:t>Grupna psihoterapija – broj osoba u grupama</w:t>
            </w:r>
          </w:p>
        </w:tc>
        <w:tc>
          <w:tcPr>
            <w:tcW w:w="782" w:type="pct"/>
            <w:shd w:val="clear" w:color="auto" w:fill="auto"/>
            <w:vAlign w:val="center"/>
          </w:tcPr>
          <w:p w14:paraId="2AA4CC0C">
            <w:pPr>
              <w:pStyle w:val="150"/>
              <w:jc w:val="left"/>
              <w:rPr>
                <w:sz w:val="20"/>
                <w:szCs w:val="20"/>
              </w:rPr>
            </w:pPr>
            <w:r>
              <w:rPr>
                <w:sz w:val="20"/>
                <w:szCs w:val="20"/>
              </w:rPr>
              <w:t>96400</w:t>
            </w:r>
          </w:p>
        </w:tc>
        <w:tc>
          <w:tcPr>
            <w:tcW w:w="804" w:type="pct"/>
            <w:shd w:val="clear" w:color="auto" w:fill="auto"/>
            <w:vAlign w:val="center"/>
          </w:tcPr>
          <w:p w14:paraId="0F34B3BE">
            <w:pPr>
              <w:pStyle w:val="150"/>
              <w:rPr>
                <w:sz w:val="20"/>
                <w:szCs w:val="20"/>
              </w:rPr>
            </w:pPr>
            <w:r>
              <w:rPr>
                <w:sz w:val="20"/>
                <w:szCs w:val="20"/>
              </w:rPr>
              <w:t>172</w:t>
            </w:r>
          </w:p>
        </w:tc>
        <w:tc>
          <w:tcPr>
            <w:tcW w:w="757" w:type="pct"/>
            <w:vAlign w:val="center"/>
          </w:tcPr>
          <w:p w14:paraId="73E02928">
            <w:pPr>
              <w:pStyle w:val="150"/>
              <w:rPr>
                <w:sz w:val="20"/>
                <w:szCs w:val="20"/>
              </w:rPr>
            </w:pPr>
            <w:r>
              <w:rPr>
                <w:sz w:val="20"/>
                <w:szCs w:val="20"/>
              </w:rPr>
              <w:t>180</w:t>
            </w:r>
          </w:p>
        </w:tc>
      </w:tr>
      <w:tr w14:paraId="1232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16D6776">
            <w:pPr>
              <w:pStyle w:val="150"/>
              <w:jc w:val="left"/>
              <w:rPr>
                <w:sz w:val="20"/>
                <w:szCs w:val="20"/>
              </w:rPr>
            </w:pPr>
            <w:r>
              <w:rPr>
                <w:sz w:val="20"/>
                <w:szCs w:val="20"/>
              </w:rPr>
              <w:t xml:space="preserve">Obiteljska psihoterapija </w:t>
            </w:r>
          </w:p>
        </w:tc>
        <w:tc>
          <w:tcPr>
            <w:tcW w:w="782" w:type="pct"/>
            <w:shd w:val="clear" w:color="auto" w:fill="auto"/>
            <w:vAlign w:val="center"/>
          </w:tcPr>
          <w:p w14:paraId="6D270131">
            <w:pPr>
              <w:pStyle w:val="150"/>
              <w:jc w:val="left"/>
              <w:rPr>
                <w:sz w:val="20"/>
                <w:szCs w:val="20"/>
              </w:rPr>
            </w:pPr>
            <w:r>
              <w:rPr>
                <w:sz w:val="20"/>
                <w:szCs w:val="20"/>
              </w:rPr>
              <w:t>96100</w:t>
            </w:r>
          </w:p>
        </w:tc>
        <w:tc>
          <w:tcPr>
            <w:tcW w:w="804" w:type="pct"/>
            <w:shd w:val="clear" w:color="auto" w:fill="auto"/>
            <w:vAlign w:val="center"/>
          </w:tcPr>
          <w:p w14:paraId="0C65A127">
            <w:pPr>
              <w:pStyle w:val="150"/>
              <w:rPr>
                <w:sz w:val="20"/>
                <w:szCs w:val="20"/>
              </w:rPr>
            </w:pPr>
            <w:r>
              <w:rPr>
                <w:sz w:val="20"/>
                <w:szCs w:val="20"/>
              </w:rPr>
              <w:t>790</w:t>
            </w:r>
          </w:p>
        </w:tc>
        <w:tc>
          <w:tcPr>
            <w:tcW w:w="757" w:type="pct"/>
            <w:vAlign w:val="center"/>
          </w:tcPr>
          <w:p w14:paraId="31E3FB75">
            <w:pPr>
              <w:pStyle w:val="150"/>
              <w:rPr>
                <w:sz w:val="20"/>
                <w:szCs w:val="20"/>
              </w:rPr>
            </w:pPr>
            <w:r>
              <w:rPr>
                <w:sz w:val="20"/>
                <w:szCs w:val="20"/>
              </w:rPr>
              <w:t>800</w:t>
            </w:r>
          </w:p>
        </w:tc>
      </w:tr>
      <w:tr w14:paraId="2D92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7F35AAB">
            <w:pPr>
              <w:pStyle w:val="150"/>
              <w:jc w:val="left"/>
              <w:rPr>
                <w:sz w:val="20"/>
                <w:szCs w:val="20"/>
              </w:rPr>
            </w:pPr>
            <w:r>
              <w:rPr>
                <w:sz w:val="20"/>
                <w:szCs w:val="20"/>
              </w:rPr>
              <w:t>Intervju</w:t>
            </w:r>
          </w:p>
        </w:tc>
        <w:tc>
          <w:tcPr>
            <w:tcW w:w="782" w:type="pct"/>
            <w:shd w:val="clear" w:color="auto" w:fill="auto"/>
            <w:vAlign w:val="center"/>
          </w:tcPr>
          <w:p w14:paraId="0DEA2B24">
            <w:pPr>
              <w:pStyle w:val="150"/>
              <w:jc w:val="left"/>
              <w:rPr>
                <w:sz w:val="20"/>
                <w:szCs w:val="20"/>
              </w:rPr>
            </w:pPr>
            <w:r>
              <w:rPr>
                <w:sz w:val="20"/>
                <w:szCs w:val="20"/>
              </w:rPr>
              <w:t>99001</w:t>
            </w:r>
          </w:p>
        </w:tc>
        <w:tc>
          <w:tcPr>
            <w:tcW w:w="804" w:type="pct"/>
            <w:shd w:val="clear" w:color="auto" w:fill="auto"/>
            <w:vAlign w:val="center"/>
          </w:tcPr>
          <w:p w14:paraId="6B85AF76">
            <w:pPr>
              <w:pStyle w:val="150"/>
              <w:rPr>
                <w:sz w:val="20"/>
                <w:szCs w:val="20"/>
              </w:rPr>
            </w:pPr>
            <w:r>
              <w:rPr>
                <w:sz w:val="20"/>
                <w:szCs w:val="20"/>
              </w:rPr>
              <w:t>251</w:t>
            </w:r>
          </w:p>
        </w:tc>
        <w:tc>
          <w:tcPr>
            <w:tcW w:w="757" w:type="pct"/>
            <w:vAlign w:val="center"/>
          </w:tcPr>
          <w:p w14:paraId="02A9223B">
            <w:pPr>
              <w:pStyle w:val="150"/>
              <w:rPr>
                <w:sz w:val="20"/>
                <w:szCs w:val="20"/>
              </w:rPr>
            </w:pPr>
            <w:r>
              <w:rPr>
                <w:sz w:val="20"/>
                <w:szCs w:val="20"/>
              </w:rPr>
              <w:t>280</w:t>
            </w:r>
          </w:p>
        </w:tc>
      </w:tr>
      <w:tr w14:paraId="4F40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750EAB37">
            <w:pPr>
              <w:pStyle w:val="150"/>
              <w:jc w:val="left"/>
              <w:rPr>
                <w:sz w:val="20"/>
                <w:szCs w:val="20"/>
              </w:rPr>
            </w:pPr>
            <w:r>
              <w:rPr>
                <w:sz w:val="20"/>
                <w:szCs w:val="20"/>
              </w:rPr>
              <w:t>Rad na modifikaciji ponašanja</w:t>
            </w:r>
          </w:p>
        </w:tc>
        <w:tc>
          <w:tcPr>
            <w:tcW w:w="782" w:type="pct"/>
            <w:shd w:val="clear" w:color="auto" w:fill="auto"/>
            <w:vAlign w:val="center"/>
          </w:tcPr>
          <w:p w14:paraId="4ECB5A8F">
            <w:pPr>
              <w:pStyle w:val="150"/>
              <w:jc w:val="left"/>
              <w:rPr>
                <w:sz w:val="20"/>
                <w:szCs w:val="20"/>
              </w:rPr>
            </w:pPr>
            <w:r>
              <w:rPr>
                <w:sz w:val="20"/>
                <w:szCs w:val="20"/>
              </w:rPr>
              <w:t>99002</w:t>
            </w:r>
          </w:p>
        </w:tc>
        <w:tc>
          <w:tcPr>
            <w:tcW w:w="804" w:type="pct"/>
            <w:shd w:val="clear" w:color="auto" w:fill="auto"/>
            <w:vAlign w:val="center"/>
          </w:tcPr>
          <w:p w14:paraId="6A5E0A45">
            <w:pPr>
              <w:pStyle w:val="150"/>
              <w:rPr>
                <w:sz w:val="20"/>
                <w:szCs w:val="20"/>
              </w:rPr>
            </w:pPr>
            <w:r>
              <w:rPr>
                <w:sz w:val="20"/>
                <w:szCs w:val="20"/>
              </w:rPr>
              <w:t>2.653</w:t>
            </w:r>
          </w:p>
        </w:tc>
        <w:tc>
          <w:tcPr>
            <w:tcW w:w="757" w:type="pct"/>
            <w:vAlign w:val="center"/>
          </w:tcPr>
          <w:p w14:paraId="34BCEF9B">
            <w:pPr>
              <w:pStyle w:val="150"/>
              <w:rPr>
                <w:sz w:val="20"/>
                <w:szCs w:val="20"/>
              </w:rPr>
            </w:pPr>
            <w:r>
              <w:rPr>
                <w:sz w:val="20"/>
                <w:szCs w:val="20"/>
              </w:rPr>
              <w:t>3.000</w:t>
            </w:r>
          </w:p>
        </w:tc>
      </w:tr>
      <w:tr w14:paraId="5433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043BD928">
            <w:pPr>
              <w:pStyle w:val="150"/>
              <w:jc w:val="left"/>
              <w:rPr>
                <w:sz w:val="20"/>
                <w:szCs w:val="20"/>
              </w:rPr>
            </w:pPr>
            <w:r>
              <w:rPr>
                <w:sz w:val="20"/>
                <w:szCs w:val="20"/>
              </w:rPr>
              <w:t>Individualni savjetovališni tretman</w:t>
            </w:r>
          </w:p>
        </w:tc>
        <w:tc>
          <w:tcPr>
            <w:tcW w:w="782" w:type="pct"/>
            <w:shd w:val="clear" w:color="auto" w:fill="auto"/>
            <w:vAlign w:val="center"/>
          </w:tcPr>
          <w:p w14:paraId="070697CB">
            <w:pPr>
              <w:pStyle w:val="150"/>
              <w:jc w:val="left"/>
              <w:rPr>
                <w:sz w:val="20"/>
                <w:szCs w:val="20"/>
              </w:rPr>
            </w:pPr>
            <w:r>
              <w:rPr>
                <w:sz w:val="20"/>
                <w:szCs w:val="20"/>
              </w:rPr>
              <w:t>99004</w:t>
            </w:r>
          </w:p>
        </w:tc>
        <w:tc>
          <w:tcPr>
            <w:tcW w:w="804" w:type="pct"/>
            <w:shd w:val="clear" w:color="auto" w:fill="auto"/>
            <w:vAlign w:val="center"/>
          </w:tcPr>
          <w:p w14:paraId="22FA0C6E">
            <w:pPr>
              <w:pStyle w:val="150"/>
              <w:rPr>
                <w:sz w:val="20"/>
                <w:szCs w:val="20"/>
              </w:rPr>
            </w:pPr>
            <w:r>
              <w:rPr>
                <w:sz w:val="20"/>
                <w:szCs w:val="20"/>
              </w:rPr>
              <w:t>3.847</w:t>
            </w:r>
          </w:p>
        </w:tc>
        <w:tc>
          <w:tcPr>
            <w:tcW w:w="757" w:type="pct"/>
            <w:vAlign w:val="center"/>
          </w:tcPr>
          <w:p w14:paraId="6DBBAEF3">
            <w:pPr>
              <w:pStyle w:val="150"/>
              <w:rPr>
                <w:sz w:val="20"/>
                <w:szCs w:val="20"/>
              </w:rPr>
            </w:pPr>
            <w:r>
              <w:rPr>
                <w:sz w:val="20"/>
                <w:szCs w:val="20"/>
              </w:rPr>
              <w:t>3.000</w:t>
            </w:r>
          </w:p>
        </w:tc>
      </w:tr>
      <w:tr w14:paraId="5A0A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AF6C7FC">
            <w:pPr>
              <w:pStyle w:val="150"/>
              <w:jc w:val="left"/>
              <w:rPr>
                <w:sz w:val="20"/>
                <w:szCs w:val="20"/>
              </w:rPr>
            </w:pPr>
            <w:r>
              <w:rPr>
                <w:sz w:val="20"/>
                <w:szCs w:val="20"/>
              </w:rPr>
              <w:t>Obiteljski savjetovališni tretman</w:t>
            </w:r>
          </w:p>
        </w:tc>
        <w:tc>
          <w:tcPr>
            <w:tcW w:w="782" w:type="pct"/>
            <w:shd w:val="clear" w:color="auto" w:fill="auto"/>
            <w:vAlign w:val="center"/>
          </w:tcPr>
          <w:p w14:paraId="4862F4E6">
            <w:pPr>
              <w:pStyle w:val="150"/>
              <w:jc w:val="left"/>
              <w:rPr>
                <w:sz w:val="20"/>
                <w:szCs w:val="20"/>
              </w:rPr>
            </w:pPr>
            <w:r>
              <w:rPr>
                <w:sz w:val="20"/>
                <w:szCs w:val="20"/>
              </w:rPr>
              <w:t>99005</w:t>
            </w:r>
          </w:p>
        </w:tc>
        <w:tc>
          <w:tcPr>
            <w:tcW w:w="804" w:type="pct"/>
            <w:shd w:val="clear" w:color="auto" w:fill="auto"/>
            <w:vAlign w:val="center"/>
          </w:tcPr>
          <w:p w14:paraId="1759FA0B">
            <w:pPr>
              <w:pStyle w:val="150"/>
              <w:rPr>
                <w:sz w:val="20"/>
                <w:szCs w:val="20"/>
              </w:rPr>
            </w:pPr>
            <w:r>
              <w:rPr>
                <w:sz w:val="20"/>
                <w:szCs w:val="20"/>
              </w:rPr>
              <w:t>414</w:t>
            </w:r>
          </w:p>
        </w:tc>
        <w:tc>
          <w:tcPr>
            <w:tcW w:w="757" w:type="pct"/>
            <w:vAlign w:val="center"/>
          </w:tcPr>
          <w:p w14:paraId="71DA2D58">
            <w:pPr>
              <w:pStyle w:val="150"/>
              <w:rPr>
                <w:sz w:val="20"/>
                <w:szCs w:val="20"/>
              </w:rPr>
            </w:pPr>
            <w:r>
              <w:rPr>
                <w:sz w:val="20"/>
                <w:szCs w:val="20"/>
              </w:rPr>
              <w:t>450</w:t>
            </w:r>
          </w:p>
        </w:tc>
      </w:tr>
      <w:tr w14:paraId="1AF8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D605B38">
            <w:pPr>
              <w:pStyle w:val="150"/>
              <w:jc w:val="left"/>
              <w:rPr>
                <w:sz w:val="20"/>
                <w:szCs w:val="20"/>
              </w:rPr>
            </w:pPr>
            <w:r>
              <w:rPr>
                <w:sz w:val="20"/>
                <w:szCs w:val="20"/>
              </w:rPr>
              <w:t>Savjet telefonom</w:t>
            </w:r>
          </w:p>
        </w:tc>
        <w:tc>
          <w:tcPr>
            <w:tcW w:w="782" w:type="pct"/>
            <w:shd w:val="clear" w:color="auto" w:fill="auto"/>
            <w:vAlign w:val="center"/>
          </w:tcPr>
          <w:p w14:paraId="549851E7">
            <w:pPr>
              <w:pStyle w:val="150"/>
              <w:jc w:val="left"/>
              <w:rPr>
                <w:sz w:val="20"/>
                <w:szCs w:val="20"/>
              </w:rPr>
            </w:pPr>
            <w:r>
              <w:rPr>
                <w:sz w:val="20"/>
                <w:szCs w:val="20"/>
              </w:rPr>
              <w:t>99006</w:t>
            </w:r>
          </w:p>
        </w:tc>
        <w:tc>
          <w:tcPr>
            <w:tcW w:w="804" w:type="pct"/>
            <w:shd w:val="clear" w:color="auto" w:fill="auto"/>
            <w:vAlign w:val="center"/>
          </w:tcPr>
          <w:p w14:paraId="728AED99">
            <w:pPr>
              <w:pStyle w:val="150"/>
              <w:rPr>
                <w:sz w:val="20"/>
                <w:szCs w:val="20"/>
              </w:rPr>
            </w:pPr>
            <w:r>
              <w:rPr>
                <w:sz w:val="20"/>
                <w:szCs w:val="20"/>
              </w:rPr>
              <w:t>17.085</w:t>
            </w:r>
          </w:p>
        </w:tc>
        <w:tc>
          <w:tcPr>
            <w:tcW w:w="757" w:type="pct"/>
            <w:vAlign w:val="center"/>
          </w:tcPr>
          <w:p w14:paraId="56C9E8E3">
            <w:pPr>
              <w:pStyle w:val="150"/>
              <w:rPr>
                <w:sz w:val="20"/>
                <w:szCs w:val="20"/>
              </w:rPr>
            </w:pPr>
            <w:r>
              <w:rPr>
                <w:sz w:val="20"/>
                <w:szCs w:val="20"/>
              </w:rPr>
              <w:t>19.000</w:t>
            </w:r>
          </w:p>
        </w:tc>
      </w:tr>
      <w:tr w14:paraId="2826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EAE3B51">
            <w:pPr>
              <w:pStyle w:val="150"/>
              <w:jc w:val="left"/>
              <w:rPr>
                <w:sz w:val="20"/>
                <w:szCs w:val="20"/>
              </w:rPr>
            </w:pPr>
            <w:r>
              <w:rPr>
                <w:sz w:val="20"/>
                <w:szCs w:val="20"/>
              </w:rPr>
              <w:t xml:space="preserve">Ispunjavanje upitnika </w:t>
            </w:r>
            <w:r>
              <w:rPr>
                <w:i/>
                <w:iCs w:val="0"/>
                <w:sz w:val="20"/>
                <w:szCs w:val="20"/>
              </w:rPr>
              <w:t>Pompidou</w:t>
            </w:r>
          </w:p>
        </w:tc>
        <w:tc>
          <w:tcPr>
            <w:tcW w:w="782" w:type="pct"/>
            <w:shd w:val="clear" w:color="auto" w:fill="auto"/>
            <w:vAlign w:val="center"/>
          </w:tcPr>
          <w:p w14:paraId="3D26649F">
            <w:pPr>
              <w:pStyle w:val="150"/>
              <w:jc w:val="left"/>
              <w:rPr>
                <w:sz w:val="20"/>
                <w:szCs w:val="20"/>
              </w:rPr>
            </w:pPr>
            <w:r>
              <w:rPr>
                <w:sz w:val="20"/>
                <w:szCs w:val="20"/>
              </w:rPr>
              <w:t>99007</w:t>
            </w:r>
          </w:p>
        </w:tc>
        <w:tc>
          <w:tcPr>
            <w:tcW w:w="804" w:type="pct"/>
            <w:shd w:val="clear" w:color="auto" w:fill="auto"/>
            <w:vAlign w:val="center"/>
          </w:tcPr>
          <w:p w14:paraId="04EF0B92">
            <w:pPr>
              <w:pStyle w:val="150"/>
              <w:rPr>
                <w:sz w:val="20"/>
                <w:szCs w:val="20"/>
              </w:rPr>
            </w:pPr>
            <w:r>
              <w:rPr>
                <w:sz w:val="20"/>
                <w:szCs w:val="20"/>
              </w:rPr>
              <w:t>524</w:t>
            </w:r>
          </w:p>
        </w:tc>
        <w:tc>
          <w:tcPr>
            <w:tcW w:w="757" w:type="pct"/>
            <w:vAlign w:val="center"/>
          </w:tcPr>
          <w:p w14:paraId="619B916A">
            <w:pPr>
              <w:pStyle w:val="150"/>
              <w:rPr>
                <w:sz w:val="20"/>
                <w:szCs w:val="20"/>
              </w:rPr>
            </w:pPr>
            <w:r>
              <w:rPr>
                <w:sz w:val="20"/>
                <w:szCs w:val="20"/>
              </w:rPr>
              <w:t>540</w:t>
            </w:r>
          </w:p>
        </w:tc>
      </w:tr>
      <w:tr w14:paraId="792E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68AC3E93">
            <w:pPr>
              <w:pStyle w:val="150"/>
              <w:jc w:val="left"/>
              <w:rPr>
                <w:sz w:val="20"/>
                <w:szCs w:val="20"/>
              </w:rPr>
            </w:pPr>
            <w:r>
              <w:rPr>
                <w:sz w:val="20"/>
                <w:szCs w:val="20"/>
              </w:rPr>
              <w:t xml:space="preserve">Unošenje podataka u upitnik </w:t>
            </w:r>
            <w:r>
              <w:rPr>
                <w:i/>
                <w:iCs w:val="0"/>
                <w:sz w:val="20"/>
                <w:szCs w:val="20"/>
              </w:rPr>
              <w:t>Pompidou</w:t>
            </w:r>
          </w:p>
        </w:tc>
        <w:tc>
          <w:tcPr>
            <w:tcW w:w="782" w:type="pct"/>
            <w:shd w:val="clear" w:color="auto" w:fill="auto"/>
            <w:vAlign w:val="center"/>
          </w:tcPr>
          <w:p w14:paraId="32E97780">
            <w:pPr>
              <w:pStyle w:val="150"/>
              <w:jc w:val="left"/>
              <w:rPr>
                <w:sz w:val="20"/>
                <w:szCs w:val="20"/>
              </w:rPr>
            </w:pPr>
            <w:r>
              <w:rPr>
                <w:sz w:val="20"/>
                <w:szCs w:val="20"/>
              </w:rPr>
              <w:t>99007b</w:t>
            </w:r>
          </w:p>
        </w:tc>
        <w:tc>
          <w:tcPr>
            <w:tcW w:w="804" w:type="pct"/>
            <w:shd w:val="clear" w:color="auto" w:fill="auto"/>
            <w:vAlign w:val="center"/>
          </w:tcPr>
          <w:p w14:paraId="419A4B22">
            <w:pPr>
              <w:pStyle w:val="150"/>
              <w:rPr>
                <w:sz w:val="20"/>
                <w:szCs w:val="20"/>
              </w:rPr>
            </w:pPr>
            <w:r>
              <w:rPr>
                <w:sz w:val="20"/>
                <w:szCs w:val="20"/>
              </w:rPr>
              <w:t>491</w:t>
            </w:r>
          </w:p>
        </w:tc>
        <w:tc>
          <w:tcPr>
            <w:tcW w:w="757" w:type="pct"/>
            <w:vAlign w:val="center"/>
          </w:tcPr>
          <w:p w14:paraId="574124D4">
            <w:pPr>
              <w:pStyle w:val="150"/>
              <w:rPr>
                <w:sz w:val="20"/>
                <w:szCs w:val="20"/>
              </w:rPr>
            </w:pPr>
            <w:r>
              <w:rPr>
                <w:sz w:val="20"/>
                <w:szCs w:val="20"/>
              </w:rPr>
              <w:t>540</w:t>
            </w:r>
          </w:p>
        </w:tc>
      </w:tr>
      <w:tr w14:paraId="6F3D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0E821964">
            <w:pPr>
              <w:pStyle w:val="150"/>
              <w:jc w:val="left"/>
              <w:rPr>
                <w:sz w:val="20"/>
                <w:szCs w:val="20"/>
              </w:rPr>
            </w:pPr>
            <w:r>
              <w:rPr>
                <w:sz w:val="20"/>
                <w:szCs w:val="20"/>
              </w:rPr>
              <w:t>Prikupljanje podataka o pacijentu i njegovoj obitelji</w:t>
            </w:r>
          </w:p>
        </w:tc>
        <w:tc>
          <w:tcPr>
            <w:tcW w:w="782" w:type="pct"/>
            <w:shd w:val="clear" w:color="auto" w:fill="auto"/>
            <w:vAlign w:val="center"/>
          </w:tcPr>
          <w:p w14:paraId="3014C81A">
            <w:pPr>
              <w:pStyle w:val="150"/>
              <w:jc w:val="left"/>
              <w:rPr>
                <w:sz w:val="20"/>
                <w:szCs w:val="20"/>
              </w:rPr>
            </w:pPr>
          </w:p>
        </w:tc>
        <w:tc>
          <w:tcPr>
            <w:tcW w:w="804" w:type="pct"/>
            <w:shd w:val="clear" w:color="auto" w:fill="auto"/>
            <w:vAlign w:val="center"/>
          </w:tcPr>
          <w:p w14:paraId="284D5ED2">
            <w:pPr>
              <w:pStyle w:val="150"/>
              <w:rPr>
                <w:sz w:val="20"/>
                <w:szCs w:val="20"/>
              </w:rPr>
            </w:pPr>
            <w:r>
              <w:rPr>
                <w:sz w:val="20"/>
                <w:szCs w:val="20"/>
              </w:rPr>
              <w:t>1.142</w:t>
            </w:r>
          </w:p>
        </w:tc>
        <w:tc>
          <w:tcPr>
            <w:tcW w:w="757" w:type="pct"/>
            <w:vAlign w:val="center"/>
          </w:tcPr>
          <w:p w14:paraId="3B3B5BCE">
            <w:pPr>
              <w:pStyle w:val="150"/>
              <w:rPr>
                <w:sz w:val="20"/>
                <w:szCs w:val="20"/>
              </w:rPr>
            </w:pPr>
            <w:r>
              <w:rPr>
                <w:sz w:val="20"/>
                <w:szCs w:val="20"/>
              </w:rPr>
              <w:t>1.200</w:t>
            </w:r>
          </w:p>
        </w:tc>
      </w:tr>
      <w:tr w14:paraId="420A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0DCE11D">
            <w:pPr>
              <w:pStyle w:val="150"/>
              <w:jc w:val="left"/>
              <w:rPr>
                <w:sz w:val="20"/>
                <w:szCs w:val="20"/>
              </w:rPr>
            </w:pPr>
            <w:r>
              <w:rPr>
                <w:sz w:val="20"/>
                <w:szCs w:val="20"/>
              </w:rPr>
              <w:t>Pomaganje u rješavanju zdravstvenih potreba ovisnika</w:t>
            </w:r>
          </w:p>
        </w:tc>
        <w:tc>
          <w:tcPr>
            <w:tcW w:w="782" w:type="pct"/>
            <w:shd w:val="clear" w:color="auto" w:fill="auto"/>
            <w:vAlign w:val="center"/>
          </w:tcPr>
          <w:p w14:paraId="24B4EFAD">
            <w:pPr>
              <w:pStyle w:val="150"/>
              <w:jc w:val="left"/>
              <w:rPr>
                <w:sz w:val="20"/>
                <w:szCs w:val="20"/>
              </w:rPr>
            </w:pPr>
            <w:r>
              <w:rPr>
                <w:sz w:val="20"/>
                <w:szCs w:val="20"/>
              </w:rPr>
              <w:t>99008</w:t>
            </w:r>
          </w:p>
        </w:tc>
        <w:tc>
          <w:tcPr>
            <w:tcW w:w="804" w:type="pct"/>
            <w:shd w:val="clear" w:color="auto" w:fill="auto"/>
            <w:vAlign w:val="center"/>
          </w:tcPr>
          <w:p w14:paraId="4C5B8707">
            <w:pPr>
              <w:pStyle w:val="150"/>
              <w:rPr>
                <w:sz w:val="20"/>
                <w:szCs w:val="20"/>
              </w:rPr>
            </w:pPr>
            <w:r>
              <w:rPr>
                <w:sz w:val="20"/>
                <w:szCs w:val="20"/>
              </w:rPr>
              <w:t>24</w:t>
            </w:r>
          </w:p>
        </w:tc>
        <w:tc>
          <w:tcPr>
            <w:tcW w:w="757" w:type="pct"/>
            <w:vAlign w:val="center"/>
          </w:tcPr>
          <w:p w14:paraId="6E5806CF">
            <w:pPr>
              <w:pStyle w:val="150"/>
              <w:rPr>
                <w:sz w:val="20"/>
                <w:szCs w:val="20"/>
              </w:rPr>
            </w:pPr>
            <w:r>
              <w:rPr>
                <w:sz w:val="20"/>
                <w:szCs w:val="20"/>
              </w:rPr>
              <w:t>25</w:t>
            </w:r>
          </w:p>
        </w:tc>
      </w:tr>
      <w:tr w14:paraId="67A4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1ADEB98D">
            <w:pPr>
              <w:pStyle w:val="150"/>
              <w:jc w:val="left"/>
              <w:rPr>
                <w:sz w:val="20"/>
                <w:szCs w:val="20"/>
              </w:rPr>
            </w:pPr>
            <w:r>
              <w:rPr>
                <w:sz w:val="20"/>
                <w:szCs w:val="20"/>
              </w:rPr>
              <w:t>Tehnike relaksacije</w:t>
            </w:r>
          </w:p>
        </w:tc>
        <w:tc>
          <w:tcPr>
            <w:tcW w:w="782" w:type="pct"/>
            <w:shd w:val="clear" w:color="auto" w:fill="auto"/>
            <w:vAlign w:val="center"/>
          </w:tcPr>
          <w:p w14:paraId="6D811C81">
            <w:pPr>
              <w:pStyle w:val="150"/>
              <w:jc w:val="left"/>
              <w:rPr>
                <w:sz w:val="20"/>
                <w:szCs w:val="20"/>
              </w:rPr>
            </w:pPr>
            <w:r>
              <w:rPr>
                <w:sz w:val="20"/>
                <w:szCs w:val="20"/>
              </w:rPr>
              <w:t>96800</w:t>
            </w:r>
          </w:p>
        </w:tc>
        <w:tc>
          <w:tcPr>
            <w:tcW w:w="804" w:type="pct"/>
            <w:shd w:val="clear" w:color="auto" w:fill="auto"/>
            <w:vAlign w:val="center"/>
          </w:tcPr>
          <w:p w14:paraId="0D2F693E">
            <w:pPr>
              <w:pStyle w:val="150"/>
              <w:rPr>
                <w:sz w:val="20"/>
                <w:szCs w:val="20"/>
              </w:rPr>
            </w:pPr>
            <w:r>
              <w:rPr>
                <w:sz w:val="20"/>
                <w:szCs w:val="20"/>
              </w:rPr>
              <w:t>178</w:t>
            </w:r>
          </w:p>
        </w:tc>
        <w:tc>
          <w:tcPr>
            <w:tcW w:w="757" w:type="pct"/>
            <w:vAlign w:val="center"/>
          </w:tcPr>
          <w:p w14:paraId="6EE5240C">
            <w:pPr>
              <w:pStyle w:val="150"/>
              <w:rPr>
                <w:sz w:val="20"/>
                <w:szCs w:val="20"/>
              </w:rPr>
            </w:pPr>
            <w:r>
              <w:rPr>
                <w:sz w:val="20"/>
                <w:szCs w:val="20"/>
              </w:rPr>
              <w:t>200</w:t>
            </w:r>
          </w:p>
        </w:tc>
      </w:tr>
      <w:tr w14:paraId="16C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76DD258">
            <w:pPr>
              <w:pStyle w:val="150"/>
              <w:jc w:val="left"/>
              <w:rPr>
                <w:sz w:val="20"/>
                <w:szCs w:val="20"/>
              </w:rPr>
            </w:pPr>
            <w:r>
              <w:rPr>
                <w:sz w:val="20"/>
                <w:szCs w:val="20"/>
              </w:rPr>
              <w:t>Savjet ovisniku ili članu obitelji – do pet minuta</w:t>
            </w:r>
          </w:p>
        </w:tc>
        <w:tc>
          <w:tcPr>
            <w:tcW w:w="782" w:type="pct"/>
            <w:shd w:val="clear" w:color="auto" w:fill="auto"/>
            <w:vAlign w:val="center"/>
          </w:tcPr>
          <w:p w14:paraId="0B2B4D71">
            <w:pPr>
              <w:pStyle w:val="150"/>
              <w:jc w:val="left"/>
              <w:rPr>
                <w:sz w:val="20"/>
                <w:szCs w:val="20"/>
              </w:rPr>
            </w:pPr>
            <w:r>
              <w:rPr>
                <w:sz w:val="20"/>
                <w:szCs w:val="20"/>
              </w:rPr>
              <w:t>97420</w:t>
            </w:r>
          </w:p>
        </w:tc>
        <w:tc>
          <w:tcPr>
            <w:tcW w:w="804" w:type="pct"/>
            <w:shd w:val="clear" w:color="auto" w:fill="auto"/>
            <w:vAlign w:val="center"/>
          </w:tcPr>
          <w:p w14:paraId="1746A8DE">
            <w:pPr>
              <w:pStyle w:val="150"/>
              <w:rPr>
                <w:sz w:val="20"/>
                <w:szCs w:val="20"/>
              </w:rPr>
            </w:pPr>
            <w:r>
              <w:rPr>
                <w:sz w:val="20"/>
                <w:szCs w:val="20"/>
              </w:rPr>
              <w:t>2.973</w:t>
            </w:r>
          </w:p>
        </w:tc>
        <w:tc>
          <w:tcPr>
            <w:tcW w:w="757" w:type="pct"/>
            <w:vAlign w:val="center"/>
          </w:tcPr>
          <w:p w14:paraId="0CC904B3">
            <w:pPr>
              <w:pStyle w:val="150"/>
              <w:rPr>
                <w:sz w:val="20"/>
                <w:szCs w:val="20"/>
              </w:rPr>
            </w:pPr>
            <w:r>
              <w:rPr>
                <w:sz w:val="20"/>
                <w:szCs w:val="20"/>
              </w:rPr>
              <w:t>3.000</w:t>
            </w:r>
          </w:p>
        </w:tc>
      </w:tr>
      <w:tr w14:paraId="201F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43648154">
            <w:pPr>
              <w:pStyle w:val="150"/>
              <w:jc w:val="left"/>
              <w:rPr>
                <w:sz w:val="20"/>
                <w:szCs w:val="20"/>
              </w:rPr>
            </w:pPr>
            <w:r>
              <w:rPr>
                <w:sz w:val="20"/>
                <w:szCs w:val="20"/>
              </w:rPr>
              <w:t>Zdravstveno socijalna intervencija</w:t>
            </w:r>
          </w:p>
        </w:tc>
        <w:tc>
          <w:tcPr>
            <w:tcW w:w="782" w:type="pct"/>
            <w:shd w:val="clear" w:color="auto" w:fill="auto"/>
            <w:vAlign w:val="center"/>
          </w:tcPr>
          <w:p w14:paraId="01C25899">
            <w:pPr>
              <w:pStyle w:val="150"/>
              <w:jc w:val="left"/>
              <w:rPr>
                <w:sz w:val="20"/>
                <w:szCs w:val="20"/>
              </w:rPr>
            </w:pPr>
            <w:r>
              <w:rPr>
                <w:sz w:val="20"/>
                <w:szCs w:val="20"/>
              </w:rPr>
              <w:t>99500</w:t>
            </w:r>
          </w:p>
        </w:tc>
        <w:tc>
          <w:tcPr>
            <w:tcW w:w="804" w:type="pct"/>
            <w:shd w:val="clear" w:color="auto" w:fill="auto"/>
            <w:vAlign w:val="center"/>
          </w:tcPr>
          <w:p w14:paraId="17CD9A56">
            <w:pPr>
              <w:pStyle w:val="150"/>
              <w:rPr>
                <w:sz w:val="20"/>
                <w:szCs w:val="20"/>
              </w:rPr>
            </w:pPr>
            <w:r>
              <w:rPr>
                <w:sz w:val="20"/>
                <w:szCs w:val="20"/>
              </w:rPr>
              <w:t>1.967</w:t>
            </w:r>
          </w:p>
        </w:tc>
        <w:tc>
          <w:tcPr>
            <w:tcW w:w="757" w:type="pct"/>
            <w:vAlign w:val="center"/>
          </w:tcPr>
          <w:p w14:paraId="45A683ED">
            <w:pPr>
              <w:pStyle w:val="150"/>
              <w:rPr>
                <w:sz w:val="20"/>
                <w:szCs w:val="20"/>
              </w:rPr>
            </w:pPr>
            <w:r>
              <w:rPr>
                <w:sz w:val="20"/>
                <w:szCs w:val="20"/>
              </w:rPr>
              <w:t>2.000</w:t>
            </w:r>
          </w:p>
        </w:tc>
      </w:tr>
      <w:tr w14:paraId="7D36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03A5BCA4">
            <w:pPr>
              <w:pStyle w:val="150"/>
              <w:jc w:val="left"/>
              <w:rPr>
                <w:sz w:val="20"/>
                <w:szCs w:val="20"/>
              </w:rPr>
            </w:pPr>
            <w:r>
              <w:rPr>
                <w:sz w:val="20"/>
                <w:szCs w:val="20"/>
              </w:rPr>
              <w:t>Kraći psihodijagnostički intervju</w:t>
            </w:r>
          </w:p>
        </w:tc>
        <w:tc>
          <w:tcPr>
            <w:tcW w:w="782" w:type="pct"/>
            <w:shd w:val="clear" w:color="auto" w:fill="auto"/>
            <w:vAlign w:val="center"/>
          </w:tcPr>
          <w:p w14:paraId="084296A7">
            <w:pPr>
              <w:pStyle w:val="150"/>
              <w:jc w:val="left"/>
              <w:rPr>
                <w:sz w:val="20"/>
                <w:szCs w:val="20"/>
              </w:rPr>
            </w:pPr>
            <w:r>
              <w:rPr>
                <w:sz w:val="20"/>
                <w:szCs w:val="20"/>
              </w:rPr>
              <w:t>19211</w:t>
            </w:r>
          </w:p>
        </w:tc>
        <w:tc>
          <w:tcPr>
            <w:tcW w:w="804" w:type="pct"/>
            <w:shd w:val="clear" w:color="auto" w:fill="auto"/>
            <w:vAlign w:val="center"/>
          </w:tcPr>
          <w:p w14:paraId="7D9A4B8C">
            <w:pPr>
              <w:pStyle w:val="150"/>
              <w:rPr>
                <w:sz w:val="20"/>
                <w:szCs w:val="20"/>
              </w:rPr>
            </w:pPr>
            <w:r>
              <w:rPr>
                <w:sz w:val="20"/>
                <w:szCs w:val="20"/>
              </w:rPr>
              <w:t>274</w:t>
            </w:r>
          </w:p>
        </w:tc>
        <w:tc>
          <w:tcPr>
            <w:tcW w:w="757" w:type="pct"/>
            <w:vAlign w:val="center"/>
          </w:tcPr>
          <w:p w14:paraId="2351339F">
            <w:pPr>
              <w:pStyle w:val="150"/>
              <w:rPr>
                <w:sz w:val="20"/>
                <w:szCs w:val="20"/>
              </w:rPr>
            </w:pPr>
            <w:r>
              <w:rPr>
                <w:sz w:val="20"/>
                <w:szCs w:val="20"/>
              </w:rPr>
              <w:t>300</w:t>
            </w:r>
          </w:p>
        </w:tc>
      </w:tr>
      <w:tr w14:paraId="77AC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1EC440B6">
            <w:pPr>
              <w:pStyle w:val="150"/>
              <w:jc w:val="left"/>
              <w:rPr>
                <w:sz w:val="20"/>
                <w:szCs w:val="20"/>
              </w:rPr>
            </w:pPr>
            <w:r>
              <w:rPr>
                <w:sz w:val="20"/>
                <w:szCs w:val="20"/>
              </w:rPr>
              <w:t>Prikupljanje podataka s psihološkim dijagnostičkim postupcima i metodama-kategorija A. Uključuje psihološko-dijagnostička sredstva, koje je moguće aplicirati na jednostavan i jednoznačan način te ih također jednostrano i potpuno objektivno vrednovati, kao npr. P. TRL. testovi BTI, neki od DAT testova, TMO, test SPP3, koji se koristi kod sistematskog pregleda 3-godišnje djece</w:t>
            </w:r>
          </w:p>
        </w:tc>
        <w:tc>
          <w:tcPr>
            <w:tcW w:w="782" w:type="pct"/>
            <w:shd w:val="clear" w:color="auto" w:fill="auto"/>
            <w:vAlign w:val="center"/>
          </w:tcPr>
          <w:p w14:paraId="69F3565D">
            <w:pPr>
              <w:pStyle w:val="150"/>
              <w:jc w:val="left"/>
              <w:rPr>
                <w:sz w:val="20"/>
                <w:szCs w:val="20"/>
              </w:rPr>
            </w:pPr>
            <w:r>
              <w:rPr>
                <w:sz w:val="20"/>
                <w:szCs w:val="20"/>
              </w:rPr>
              <w:t>19212</w:t>
            </w:r>
          </w:p>
        </w:tc>
        <w:tc>
          <w:tcPr>
            <w:tcW w:w="804" w:type="pct"/>
            <w:shd w:val="clear" w:color="auto" w:fill="auto"/>
            <w:vAlign w:val="center"/>
          </w:tcPr>
          <w:p w14:paraId="37451C3B">
            <w:pPr>
              <w:pStyle w:val="150"/>
              <w:rPr>
                <w:sz w:val="20"/>
                <w:szCs w:val="20"/>
              </w:rPr>
            </w:pPr>
            <w:r>
              <w:rPr>
                <w:sz w:val="20"/>
                <w:szCs w:val="20"/>
              </w:rPr>
              <w:t>282</w:t>
            </w:r>
          </w:p>
        </w:tc>
        <w:tc>
          <w:tcPr>
            <w:tcW w:w="757" w:type="pct"/>
            <w:vAlign w:val="center"/>
          </w:tcPr>
          <w:p w14:paraId="7158D33B">
            <w:pPr>
              <w:pStyle w:val="150"/>
              <w:rPr>
                <w:sz w:val="20"/>
                <w:szCs w:val="20"/>
              </w:rPr>
            </w:pPr>
            <w:r>
              <w:rPr>
                <w:sz w:val="20"/>
                <w:szCs w:val="20"/>
              </w:rPr>
              <w:t>300</w:t>
            </w:r>
          </w:p>
        </w:tc>
      </w:tr>
      <w:tr w14:paraId="4517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2C55897D">
            <w:pPr>
              <w:pStyle w:val="150"/>
              <w:jc w:val="left"/>
              <w:rPr>
                <w:sz w:val="20"/>
                <w:szCs w:val="20"/>
              </w:rPr>
            </w:pPr>
            <w:r>
              <w:rPr>
                <w:sz w:val="20"/>
                <w:szCs w:val="20"/>
              </w:rPr>
              <w:t>Prikupljanje podataka s psihološko-dijagnostičkim postupcima i metodama – kategorije B. Uključuje testove D-48, LB, PM, AB, DAT, EOV i slične</w:t>
            </w:r>
          </w:p>
        </w:tc>
        <w:tc>
          <w:tcPr>
            <w:tcW w:w="782" w:type="pct"/>
            <w:shd w:val="clear" w:color="auto" w:fill="auto"/>
            <w:vAlign w:val="center"/>
          </w:tcPr>
          <w:p w14:paraId="688842DF">
            <w:pPr>
              <w:pStyle w:val="150"/>
              <w:jc w:val="left"/>
              <w:rPr>
                <w:sz w:val="20"/>
                <w:szCs w:val="20"/>
              </w:rPr>
            </w:pPr>
            <w:r>
              <w:rPr>
                <w:sz w:val="20"/>
                <w:szCs w:val="20"/>
              </w:rPr>
              <w:t>19213</w:t>
            </w:r>
          </w:p>
        </w:tc>
        <w:tc>
          <w:tcPr>
            <w:tcW w:w="804" w:type="pct"/>
            <w:shd w:val="clear" w:color="auto" w:fill="auto"/>
            <w:vAlign w:val="center"/>
          </w:tcPr>
          <w:p w14:paraId="4E7A4345">
            <w:pPr>
              <w:pStyle w:val="150"/>
              <w:rPr>
                <w:sz w:val="20"/>
                <w:szCs w:val="20"/>
              </w:rPr>
            </w:pPr>
            <w:r>
              <w:rPr>
                <w:sz w:val="20"/>
                <w:szCs w:val="20"/>
              </w:rPr>
              <w:t>282</w:t>
            </w:r>
          </w:p>
        </w:tc>
        <w:tc>
          <w:tcPr>
            <w:tcW w:w="757" w:type="pct"/>
            <w:vAlign w:val="center"/>
          </w:tcPr>
          <w:p w14:paraId="43739B3D">
            <w:pPr>
              <w:pStyle w:val="150"/>
              <w:rPr>
                <w:sz w:val="20"/>
                <w:szCs w:val="20"/>
              </w:rPr>
            </w:pPr>
            <w:r>
              <w:rPr>
                <w:sz w:val="20"/>
                <w:szCs w:val="20"/>
              </w:rPr>
              <w:t>300</w:t>
            </w:r>
          </w:p>
        </w:tc>
      </w:tr>
      <w:tr w14:paraId="26F9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27EF41D3">
            <w:pPr>
              <w:pStyle w:val="150"/>
              <w:jc w:val="left"/>
              <w:rPr>
                <w:sz w:val="20"/>
                <w:szCs w:val="20"/>
              </w:rPr>
            </w:pPr>
            <w:r>
              <w:rPr>
                <w:sz w:val="20"/>
                <w:szCs w:val="20"/>
              </w:rPr>
              <w:t>Prikupljanje podataka s psihološko-dijagnostičkim postupcima i metodama – kategorije C. Obuhvaća testove WB, WISC, OI, FPI, EPQ,PIE i slične</w:t>
            </w:r>
          </w:p>
        </w:tc>
        <w:tc>
          <w:tcPr>
            <w:tcW w:w="782" w:type="pct"/>
            <w:shd w:val="clear" w:color="auto" w:fill="auto"/>
            <w:vAlign w:val="center"/>
          </w:tcPr>
          <w:p w14:paraId="20BCF773">
            <w:pPr>
              <w:pStyle w:val="150"/>
              <w:jc w:val="left"/>
              <w:rPr>
                <w:sz w:val="20"/>
                <w:szCs w:val="20"/>
              </w:rPr>
            </w:pPr>
            <w:r>
              <w:rPr>
                <w:sz w:val="20"/>
                <w:szCs w:val="20"/>
              </w:rPr>
              <w:t>19214</w:t>
            </w:r>
          </w:p>
        </w:tc>
        <w:tc>
          <w:tcPr>
            <w:tcW w:w="804" w:type="pct"/>
            <w:shd w:val="clear" w:color="auto" w:fill="auto"/>
            <w:vAlign w:val="center"/>
          </w:tcPr>
          <w:p w14:paraId="0C6DA84F">
            <w:pPr>
              <w:pStyle w:val="150"/>
              <w:rPr>
                <w:sz w:val="20"/>
                <w:szCs w:val="20"/>
              </w:rPr>
            </w:pPr>
            <w:r>
              <w:rPr>
                <w:sz w:val="20"/>
                <w:szCs w:val="20"/>
              </w:rPr>
              <w:t>264</w:t>
            </w:r>
          </w:p>
        </w:tc>
        <w:tc>
          <w:tcPr>
            <w:tcW w:w="757" w:type="pct"/>
            <w:vAlign w:val="center"/>
          </w:tcPr>
          <w:p w14:paraId="65DE94A5">
            <w:pPr>
              <w:pStyle w:val="150"/>
              <w:rPr>
                <w:sz w:val="20"/>
                <w:szCs w:val="20"/>
              </w:rPr>
            </w:pPr>
            <w:r>
              <w:rPr>
                <w:sz w:val="20"/>
                <w:szCs w:val="20"/>
              </w:rPr>
              <w:t>300</w:t>
            </w:r>
          </w:p>
        </w:tc>
      </w:tr>
      <w:tr w14:paraId="2061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4B273199">
            <w:pPr>
              <w:pStyle w:val="150"/>
              <w:jc w:val="left"/>
              <w:rPr>
                <w:sz w:val="20"/>
                <w:szCs w:val="20"/>
              </w:rPr>
            </w:pPr>
            <w:r>
              <w:rPr>
                <w:sz w:val="20"/>
                <w:szCs w:val="20"/>
              </w:rPr>
              <w:t>Ekspertiza specijalista-pojedinca</w:t>
            </w:r>
          </w:p>
        </w:tc>
        <w:tc>
          <w:tcPr>
            <w:tcW w:w="782" w:type="pct"/>
            <w:shd w:val="clear" w:color="auto" w:fill="auto"/>
            <w:vAlign w:val="center"/>
          </w:tcPr>
          <w:p w14:paraId="39A6952C">
            <w:pPr>
              <w:pStyle w:val="150"/>
              <w:jc w:val="left"/>
              <w:rPr>
                <w:sz w:val="20"/>
                <w:szCs w:val="20"/>
              </w:rPr>
            </w:pPr>
            <w:r>
              <w:rPr>
                <w:sz w:val="20"/>
                <w:szCs w:val="20"/>
              </w:rPr>
              <w:t>11616</w:t>
            </w:r>
          </w:p>
        </w:tc>
        <w:tc>
          <w:tcPr>
            <w:tcW w:w="804" w:type="pct"/>
            <w:shd w:val="clear" w:color="auto" w:fill="auto"/>
            <w:vAlign w:val="center"/>
          </w:tcPr>
          <w:p w14:paraId="46B5839D">
            <w:pPr>
              <w:pStyle w:val="150"/>
              <w:rPr>
                <w:sz w:val="20"/>
                <w:szCs w:val="20"/>
              </w:rPr>
            </w:pPr>
            <w:r>
              <w:rPr>
                <w:sz w:val="20"/>
                <w:szCs w:val="20"/>
              </w:rPr>
              <w:t>37</w:t>
            </w:r>
          </w:p>
        </w:tc>
        <w:tc>
          <w:tcPr>
            <w:tcW w:w="757" w:type="pct"/>
            <w:vAlign w:val="center"/>
          </w:tcPr>
          <w:p w14:paraId="3C86F494">
            <w:pPr>
              <w:pStyle w:val="150"/>
              <w:rPr>
                <w:sz w:val="20"/>
                <w:szCs w:val="20"/>
              </w:rPr>
            </w:pPr>
            <w:r>
              <w:rPr>
                <w:sz w:val="20"/>
                <w:szCs w:val="20"/>
              </w:rPr>
              <w:t>40</w:t>
            </w:r>
          </w:p>
        </w:tc>
      </w:tr>
      <w:tr w14:paraId="5E36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CD3588F">
            <w:pPr>
              <w:pStyle w:val="150"/>
              <w:jc w:val="left"/>
              <w:rPr>
                <w:sz w:val="20"/>
                <w:szCs w:val="20"/>
              </w:rPr>
            </w:pPr>
            <w:r>
              <w:rPr>
                <w:sz w:val="20"/>
                <w:szCs w:val="20"/>
              </w:rPr>
              <w:t>Uzimanje uzorka sline</w:t>
            </w:r>
          </w:p>
        </w:tc>
        <w:tc>
          <w:tcPr>
            <w:tcW w:w="782" w:type="pct"/>
            <w:shd w:val="clear" w:color="auto" w:fill="auto"/>
            <w:vAlign w:val="center"/>
          </w:tcPr>
          <w:p w14:paraId="32F94A0E">
            <w:pPr>
              <w:pStyle w:val="150"/>
              <w:jc w:val="left"/>
              <w:rPr>
                <w:sz w:val="20"/>
                <w:szCs w:val="20"/>
              </w:rPr>
            </w:pPr>
            <w:r>
              <w:rPr>
                <w:sz w:val="20"/>
                <w:szCs w:val="20"/>
              </w:rPr>
              <w:t>19141</w:t>
            </w:r>
          </w:p>
        </w:tc>
        <w:tc>
          <w:tcPr>
            <w:tcW w:w="804" w:type="pct"/>
            <w:shd w:val="clear" w:color="auto" w:fill="auto"/>
            <w:vAlign w:val="center"/>
          </w:tcPr>
          <w:p w14:paraId="209AC857">
            <w:pPr>
              <w:pStyle w:val="150"/>
              <w:rPr>
                <w:sz w:val="20"/>
                <w:szCs w:val="20"/>
              </w:rPr>
            </w:pPr>
            <w:r>
              <w:rPr>
                <w:sz w:val="20"/>
                <w:szCs w:val="20"/>
              </w:rPr>
              <w:t>72</w:t>
            </w:r>
          </w:p>
        </w:tc>
        <w:tc>
          <w:tcPr>
            <w:tcW w:w="757" w:type="pct"/>
            <w:vAlign w:val="center"/>
          </w:tcPr>
          <w:p w14:paraId="6D046F7E">
            <w:pPr>
              <w:pStyle w:val="150"/>
              <w:rPr>
                <w:sz w:val="20"/>
                <w:szCs w:val="20"/>
              </w:rPr>
            </w:pPr>
            <w:r>
              <w:rPr>
                <w:sz w:val="20"/>
                <w:szCs w:val="20"/>
              </w:rPr>
              <w:t>100</w:t>
            </w:r>
          </w:p>
        </w:tc>
      </w:tr>
      <w:tr w14:paraId="7E33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60CEEA3D">
            <w:pPr>
              <w:pStyle w:val="150"/>
              <w:jc w:val="left"/>
              <w:rPr>
                <w:sz w:val="20"/>
                <w:szCs w:val="20"/>
              </w:rPr>
            </w:pPr>
            <w:r>
              <w:rPr>
                <w:sz w:val="20"/>
                <w:szCs w:val="20"/>
              </w:rPr>
              <w:t>Uzimanje uzorka urina</w:t>
            </w:r>
          </w:p>
        </w:tc>
        <w:tc>
          <w:tcPr>
            <w:tcW w:w="782" w:type="pct"/>
            <w:shd w:val="clear" w:color="auto" w:fill="auto"/>
            <w:vAlign w:val="center"/>
          </w:tcPr>
          <w:p w14:paraId="7CFD0910">
            <w:pPr>
              <w:pStyle w:val="150"/>
              <w:jc w:val="left"/>
              <w:rPr>
                <w:sz w:val="20"/>
                <w:szCs w:val="20"/>
              </w:rPr>
            </w:pPr>
            <w:r>
              <w:rPr>
                <w:sz w:val="20"/>
                <w:szCs w:val="20"/>
              </w:rPr>
              <w:t>19150</w:t>
            </w:r>
          </w:p>
        </w:tc>
        <w:tc>
          <w:tcPr>
            <w:tcW w:w="804" w:type="pct"/>
            <w:shd w:val="clear" w:color="auto" w:fill="auto"/>
            <w:vAlign w:val="center"/>
          </w:tcPr>
          <w:p w14:paraId="1251A207">
            <w:pPr>
              <w:pStyle w:val="150"/>
              <w:rPr>
                <w:sz w:val="20"/>
                <w:szCs w:val="20"/>
              </w:rPr>
            </w:pPr>
            <w:r>
              <w:rPr>
                <w:sz w:val="20"/>
                <w:szCs w:val="20"/>
              </w:rPr>
              <w:t>3.092</w:t>
            </w:r>
          </w:p>
        </w:tc>
        <w:tc>
          <w:tcPr>
            <w:tcW w:w="757" w:type="pct"/>
            <w:vAlign w:val="center"/>
          </w:tcPr>
          <w:p w14:paraId="60C199B8">
            <w:pPr>
              <w:pStyle w:val="150"/>
              <w:rPr>
                <w:sz w:val="20"/>
                <w:szCs w:val="20"/>
              </w:rPr>
            </w:pPr>
            <w:r>
              <w:rPr>
                <w:sz w:val="20"/>
                <w:szCs w:val="20"/>
              </w:rPr>
              <w:t>3.300</w:t>
            </w:r>
          </w:p>
        </w:tc>
      </w:tr>
      <w:tr w14:paraId="0371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062D843E">
            <w:pPr>
              <w:pStyle w:val="150"/>
              <w:jc w:val="left"/>
              <w:rPr>
                <w:sz w:val="20"/>
                <w:szCs w:val="20"/>
              </w:rPr>
            </w:pPr>
            <w:r>
              <w:rPr>
                <w:sz w:val="20"/>
                <w:szCs w:val="20"/>
              </w:rPr>
              <w:t>Testiranje urina na prisutnost droga i njihovih metabolita</w:t>
            </w:r>
          </w:p>
        </w:tc>
        <w:tc>
          <w:tcPr>
            <w:tcW w:w="782" w:type="pct"/>
            <w:shd w:val="clear" w:color="auto" w:fill="auto"/>
            <w:vAlign w:val="center"/>
          </w:tcPr>
          <w:p w14:paraId="1B36E4F7">
            <w:pPr>
              <w:pStyle w:val="150"/>
              <w:jc w:val="left"/>
              <w:rPr>
                <w:sz w:val="20"/>
                <w:szCs w:val="20"/>
              </w:rPr>
            </w:pPr>
            <w:r>
              <w:rPr>
                <w:sz w:val="20"/>
                <w:szCs w:val="20"/>
              </w:rPr>
              <w:t>22586</w:t>
            </w:r>
          </w:p>
        </w:tc>
        <w:tc>
          <w:tcPr>
            <w:tcW w:w="804" w:type="pct"/>
            <w:shd w:val="clear" w:color="auto" w:fill="auto"/>
            <w:vAlign w:val="center"/>
          </w:tcPr>
          <w:p w14:paraId="23FA922D">
            <w:pPr>
              <w:pStyle w:val="150"/>
              <w:rPr>
                <w:sz w:val="20"/>
                <w:szCs w:val="20"/>
              </w:rPr>
            </w:pPr>
            <w:r>
              <w:rPr>
                <w:sz w:val="20"/>
                <w:szCs w:val="20"/>
              </w:rPr>
              <w:t>4.872</w:t>
            </w:r>
          </w:p>
        </w:tc>
        <w:tc>
          <w:tcPr>
            <w:tcW w:w="757" w:type="pct"/>
            <w:vAlign w:val="center"/>
          </w:tcPr>
          <w:p w14:paraId="5EC695E6">
            <w:pPr>
              <w:pStyle w:val="150"/>
              <w:rPr>
                <w:sz w:val="20"/>
                <w:szCs w:val="20"/>
              </w:rPr>
            </w:pPr>
            <w:r>
              <w:rPr>
                <w:sz w:val="20"/>
                <w:szCs w:val="20"/>
              </w:rPr>
              <w:t>5.000</w:t>
            </w:r>
          </w:p>
        </w:tc>
      </w:tr>
      <w:tr w14:paraId="7AA4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23B7E7E">
            <w:pPr>
              <w:pStyle w:val="150"/>
              <w:jc w:val="left"/>
              <w:rPr>
                <w:sz w:val="20"/>
                <w:szCs w:val="20"/>
              </w:rPr>
            </w:pPr>
            <w:r>
              <w:rPr>
                <w:sz w:val="20"/>
                <w:szCs w:val="20"/>
              </w:rPr>
              <w:t>Testiranje na HIV i HCV</w:t>
            </w:r>
          </w:p>
        </w:tc>
        <w:tc>
          <w:tcPr>
            <w:tcW w:w="782" w:type="pct"/>
            <w:shd w:val="clear" w:color="auto" w:fill="auto"/>
            <w:vAlign w:val="center"/>
          </w:tcPr>
          <w:p w14:paraId="2F708549">
            <w:pPr>
              <w:pStyle w:val="150"/>
              <w:jc w:val="left"/>
              <w:rPr>
                <w:sz w:val="20"/>
                <w:szCs w:val="20"/>
              </w:rPr>
            </w:pPr>
            <w:r>
              <w:rPr>
                <w:sz w:val="20"/>
                <w:szCs w:val="20"/>
              </w:rPr>
              <w:t>25570</w:t>
            </w:r>
          </w:p>
        </w:tc>
        <w:tc>
          <w:tcPr>
            <w:tcW w:w="804" w:type="pct"/>
            <w:shd w:val="clear" w:color="auto" w:fill="auto"/>
            <w:vAlign w:val="center"/>
          </w:tcPr>
          <w:p w14:paraId="0AB60F60">
            <w:pPr>
              <w:pStyle w:val="150"/>
              <w:rPr>
                <w:sz w:val="20"/>
                <w:szCs w:val="20"/>
              </w:rPr>
            </w:pPr>
            <w:r>
              <w:rPr>
                <w:sz w:val="20"/>
                <w:szCs w:val="20"/>
              </w:rPr>
              <w:t>72</w:t>
            </w:r>
          </w:p>
        </w:tc>
        <w:tc>
          <w:tcPr>
            <w:tcW w:w="757" w:type="pct"/>
            <w:vAlign w:val="center"/>
          </w:tcPr>
          <w:p w14:paraId="05787ECA">
            <w:pPr>
              <w:pStyle w:val="150"/>
              <w:rPr>
                <w:sz w:val="20"/>
                <w:szCs w:val="20"/>
              </w:rPr>
            </w:pPr>
            <w:r>
              <w:rPr>
                <w:sz w:val="20"/>
                <w:szCs w:val="20"/>
              </w:rPr>
              <w:t>100</w:t>
            </w:r>
          </w:p>
        </w:tc>
      </w:tr>
      <w:tr w14:paraId="6D85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tcBorders>
              <w:bottom w:val="double" w:color="auto" w:sz="4" w:space="0"/>
            </w:tcBorders>
            <w:shd w:val="clear" w:color="auto" w:fill="auto"/>
            <w:vAlign w:val="center"/>
          </w:tcPr>
          <w:p w14:paraId="1E3D83F5">
            <w:pPr>
              <w:pStyle w:val="150"/>
              <w:jc w:val="left"/>
              <w:rPr>
                <w:spacing w:val="-10"/>
                <w:sz w:val="20"/>
                <w:szCs w:val="20"/>
              </w:rPr>
            </w:pPr>
            <w:r>
              <w:rPr>
                <w:spacing w:val="-10"/>
                <w:sz w:val="20"/>
                <w:szCs w:val="20"/>
              </w:rPr>
              <w:t>Izvještaji za Centar za socijalnu skrb, Općinsko državno odvjetništvo, Prekršajni sud i Povjerenika Suda za zaštitni nadzor</w:t>
            </w:r>
          </w:p>
        </w:tc>
        <w:tc>
          <w:tcPr>
            <w:tcW w:w="782" w:type="pct"/>
            <w:tcBorders>
              <w:bottom w:val="double" w:color="auto" w:sz="4" w:space="0"/>
            </w:tcBorders>
            <w:shd w:val="clear" w:color="auto" w:fill="auto"/>
            <w:vAlign w:val="center"/>
          </w:tcPr>
          <w:p w14:paraId="38FC0DC5">
            <w:pPr>
              <w:pStyle w:val="150"/>
              <w:jc w:val="left"/>
              <w:rPr>
                <w:sz w:val="20"/>
                <w:szCs w:val="20"/>
              </w:rPr>
            </w:pPr>
            <w:r>
              <w:rPr>
                <w:sz w:val="20"/>
                <w:szCs w:val="20"/>
              </w:rPr>
              <w:t>99615</w:t>
            </w:r>
          </w:p>
        </w:tc>
        <w:tc>
          <w:tcPr>
            <w:tcW w:w="804" w:type="pct"/>
            <w:tcBorders>
              <w:bottom w:val="double" w:color="auto" w:sz="4" w:space="0"/>
            </w:tcBorders>
            <w:shd w:val="clear" w:color="auto" w:fill="auto"/>
            <w:vAlign w:val="center"/>
          </w:tcPr>
          <w:p w14:paraId="38A90826">
            <w:pPr>
              <w:pStyle w:val="150"/>
              <w:rPr>
                <w:sz w:val="20"/>
                <w:szCs w:val="20"/>
              </w:rPr>
            </w:pPr>
            <w:r>
              <w:rPr>
                <w:sz w:val="20"/>
                <w:szCs w:val="20"/>
              </w:rPr>
              <w:t>218</w:t>
            </w:r>
          </w:p>
        </w:tc>
        <w:tc>
          <w:tcPr>
            <w:tcW w:w="757" w:type="pct"/>
            <w:tcBorders>
              <w:bottom w:val="double" w:color="auto" w:sz="4" w:space="0"/>
            </w:tcBorders>
            <w:vAlign w:val="center"/>
          </w:tcPr>
          <w:p w14:paraId="47AA5B84">
            <w:pPr>
              <w:pStyle w:val="150"/>
              <w:rPr>
                <w:sz w:val="20"/>
                <w:szCs w:val="20"/>
              </w:rPr>
            </w:pPr>
            <w:r>
              <w:rPr>
                <w:sz w:val="20"/>
                <w:szCs w:val="20"/>
              </w:rPr>
              <w:t>200</w:t>
            </w:r>
          </w:p>
        </w:tc>
      </w:tr>
      <w:tr w14:paraId="6D5A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tcBorders>
              <w:top w:val="double" w:color="auto" w:sz="4" w:space="0"/>
              <w:bottom w:val="double" w:color="auto" w:sz="4" w:space="0"/>
            </w:tcBorders>
            <w:shd w:val="clear" w:color="auto" w:fill="auto"/>
            <w:vAlign w:val="center"/>
          </w:tcPr>
          <w:p w14:paraId="3E93F9A2">
            <w:pPr>
              <w:pStyle w:val="150"/>
              <w:jc w:val="left"/>
              <w:rPr>
                <w:sz w:val="20"/>
                <w:szCs w:val="20"/>
              </w:rPr>
            </w:pPr>
            <w:r>
              <w:rPr>
                <w:sz w:val="20"/>
                <w:szCs w:val="20"/>
              </w:rPr>
              <w:t>Stručne edukacije djelatnika</w:t>
            </w:r>
          </w:p>
        </w:tc>
        <w:tc>
          <w:tcPr>
            <w:tcW w:w="782" w:type="pct"/>
            <w:tcBorders>
              <w:top w:val="double" w:color="auto" w:sz="4" w:space="0"/>
              <w:bottom w:val="double" w:color="auto" w:sz="4" w:space="0"/>
            </w:tcBorders>
            <w:shd w:val="clear" w:color="auto" w:fill="auto"/>
            <w:vAlign w:val="center"/>
          </w:tcPr>
          <w:p w14:paraId="4DDC849B">
            <w:pPr>
              <w:pStyle w:val="150"/>
              <w:jc w:val="left"/>
              <w:rPr>
                <w:sz w:val="20"/>
                <w:szCs w:val="20"/>
              </w:rPr>
            </w:pPr>
          </w:p>
        </w:tc>
        <w:tc>
          <w:tcPr>
            <w:tcW w:w="804" w:type="pct"/>
            <w:tcBorders>
              <w:top w:val="double" w:color="auto" w:sz="4" w:space="0"/>
              <w:bottom w:val="double" w:color="auto" w:sz="4" w:space="0"/>
            </w:tcBorders>
            <w:shd w:val="clear" w:color="auto" w:fill="auto"/>
            <w:vAlign w:val="center"/>
          </w:tcPr>
          <w:p w14:paraId="1FD81676">
            <w:pPr>
              <w:pStyle w:val="150"/>
              <w:rPr>
                <w:sz w:val="20"/>
                <w:szCs w:val="20"/>
              </w:rPr>
            </w:pPr>
            <w:r>
              <w:rPr>
                <w:sz w:val="20"/>
                <w:szCs w:val="20"/>
              </w:rPr>
              <w:t>98</w:t>
            </w:r>
          </w:p>
        </w:tc>
        <w:tc>
          <w:tcPr>
            <w:tcW w:w="757" w:type="pct"/>
            <w:tcBorders>
              <w:top w:val="double" w:color="auto" w:sz="4" w:space="0"/>
              <w:bottom w:val="double" w:color="auto" w:sz="4" w:space="0"/>
            </w:tcBorders>
            <w:vAlign w:val="center"/>
          </w:tcPr>
          <w:p w14:paraId="3FE272C7">
            <w:pPr>
              <w:pStyle w:val="150"/>
              <w:rPr>
                <w:sz w:val="20"/>
                <w:szCs w:val="20"/>
              </w:rPr>
            </w:pPr>
            <w:r>
              <w:rPr>
                <w:sz w:val="20"/>
                <w:szCs w:val="20"/>
              </w:rPr>
              <w:t>100</w:t>
            </w:r>
          </w:p>
        </w:tc>
      </w:tr>
      <w:tr w14:paraId="24B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00" w:type="pct"/>
            <w:gridSpan w:val="4"/>
            <w:shd w:val="clear" w:color="auto" w:fill="auto"/>
            <w:vAlign w:val="center"/>
          </w:tcPr>
          <w:p w14:paraId="3104EB12">
            <w:pPr>
              <w:pStyle w:val="150"/>
              <w:jc w:val="left"/>
              <w:rPr>
                <w:i/>
                <w:iCs w:val="0"/>
                <w:sz w:val="20"/>
                <w:szCs w:val="20"/>
              </w:rPr>
            </w:pPr>
            <w:r>
              <w:rPr>
                <w:i/>
                <w:iCs w:val="0"/>
                <w:sz w:val="20"/>
                <w:szCs w:val="20"/>
              </w:rPr>
              <w:t>Preventivne aktivnosti</w:t>
            </w:r>
          </w:p>
        </w:tc>
      </w:tr>
      <w:tr w14:paraId="74F6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27A3330">
            <w:pPr>
              <w:pStyle w:val="150"/>
              <w:jc w:val="left"/>
              <w:rPr>
                <w:sz w:val="20"/>
                <w:szCs w:val="20"/>
              </w:rPr>
            </w:pPr>
            <w:r>
              <w:rPr>
                <w:sz w:val="20"/>
                <w:szCs w:val="20"/>
              </w:rPr>
              <w:t>Predavanje, poster-prezentacija</w:t>
            </w:r>
          </w:p>
        </w:tc>
        <w:tc>
          <w:tcPr>
            <w:tcW w:w="782" w:type="pct"/>
            <w:shd w:val="clear" w:color="auto" w:fill="auto"/>
            <w:vAlign w:val="center"/>
          </w:tcPr>
          <w:p w14:paraId="150A7B5A">
            <w:pPr>
              <w:pStyle w:val="150"/>
              <w:jc w:val="left"/>
              <w:rPr>
                <w:sz w:val="20"/>
                <w:szCs w:val="20"/>
              </w:rPr>
            </w:pPr>
          </w:p>
        </w:tc>
        <w:tc>
          <w:tcPr>
            <w:tcW w:w="804" w:type="pct"/>
            <w:shd w:val="clear" w:color="auto" w:fill="auto"/>
            <w:vAlign w:val="center"/>
          </w:tcPr>
          <w:p w14:paraId="4E2AE70A">
            <w:pPr>
              <w:pStyle w:val="150"/>
              <w:rPr>
                <w:sz w:val="20"/>
                <w:szCs w:val="20"/>
              </w:rPr>
            </w:pPr>
            <w:r>
              <w:rPr>
                <w:sz w:val="20"/>
                <w:szCs w:val="20"/>
              </w:rPr>
              <w:t>47</w:t>
            </w:r>
          </w:p>
        </w:tc>
        <w:tc>
          <w:tcPr>
            <w:tcW w:w="757" w:type="pct"/>
            <w:vAlign w:val="center"/>
          </w:tcPr>
          <w:p w14:paraId="5EEE3F13">
            <w:pPr>
              <w:pStyle w:val="150"/>
              <w:rPr>
                <w:sz w:val="20"/>
                <w:szCs w:val="20"/>
              </w:rPr>
            </w:pPr>
            <w:r>
              <w:rPr>
                <w:sz w:val="20"/>
                <w:szCs w:val="20"/>
              </w:rPr>
              <w:t>50</w:t>
            </w:r>
          </w:p>
        </w:tc>
      </w:tr>
      <w:tr w14:paraId="6D0D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6EEDCC0">
            <w:pPr>
              <w:pStyle w:val="150"/>
              <w:jc w:val="left"/>
              <w:rPr>
                <w:sz w:val="20"/>
                <w:szCs w:val="20"/>
              </w:rPr>
            </w:pPr>
            <w:r>
              <w:rPr>
                <w:sz w:val="20"/>
                <w:szCs w:val="20"/>
              </w:rPr>
              <w:t>Tribina / okrugli stol</w:t>
            </w:r>
          </w:p>
        </w:tc>
        <w:tc>
          <w:tcPr>
            <w:tcW w:w="782" w:type="pct"/>
            <w:shd w:val="clear" w:color="auto" w:fill="auto"/>
            <w:vAlign w:val="center"/>
          </w:tcPr>
          <w:p w14:paraId="04978B71">
            <w:pPr>
              <w:pStyle w:val="150"/>
              <w:jc w:val="left"/>
              <w:rPr>
                <w:sz w:val="20"/>
                <w:szCs w:val="20"/>
              </w:rPr>
            </w:pPr>
          </w:p>
        </w:tc>
        <w:tc>
          <w:tcPr>
            <w:tcW w:w="804" w:type="pct"/>
            <w:shd w:val="clear" w:color="auto" w:fill="auto"/>
            <w:vAlign w:val="center"/>
          </w:tcPr>
          <w:p w14:paraId="44CD31C9">
            <w:pPr>
              <w:pStyle w:val="150"/>
              <w:rPr>
                <w:sz w:val="20"/>
                <w:szCs w:val="20"/>
              </w:rPr>
            </w:pPr>
            <w:r>
              <w:rPr>
                <w:sz w:val="20"/>
                <w:szCs w:val="20"/>
              </w:rPr>
              <w:t>23</w:t>
            </w:r>
          </w:p>
        </w:tc>
        <w:tc>
          <w:tcPr>
            <w:tcW w:w="757" w:type="pct"/>
            <w:vAlign w:val="center"/>
          </w:tcPr>
          <w:p w14:paraId="0EFBCDA8">
            <w:pPr>
              <w:pStyle w:val="150"/>
              <w:rPr>
                <w:sz w:val="20"/>
                <w:szCs w:val="20"/>
              </w:rPr>
            </w:pPr>
            <w:r>
              <w:rPr>
                <w:sz w:val="20"/>
                <w:szCs w:val="20"/>
              </w:rPr>
              <w:t>20</w:t>
            </w:r>
          </w:p>
        </w:tc>
      </w:tr>
      <w:tr w14:paraId="5232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255573D">
            <w:pPr>
              <w:pStyle w:val="150"/>
              <w:jc w:val="left"/>
              <w:rPr>
                <w:sz w:val="20"/>
                <w:szCs w:val="20"/>
              </w:rPr>
            </w:pPr>
            <w:r>
              <w:rPr>
                <w:sz w:val="20"/>
                <w:szCs w:val="20"/>
              </w:rPr>
              <w:t>Edukativni seminar/radionice (učenici, studenti, roditelji.)</w:t>
            </w:r>
          </w:p>
        </w:tc>
        <w:tc>
          <w:tcPr>
            <w:tcW w:w="782" w:type="pct"/>
            <w:shd w:val="clear" w:color="auto" w:fill="auto"/>
            <w:vAlign w:val="center"/>
          </w:tcPr>
          <w:p w14:paraId="0F008E10">
            <w:pPr>
              <w:pStyle w:val="150"/>
              <w:jc w:val="left"/>
              <w:rPr>
                <w:sz w:val="20"/>
                <w:szCs w:val="20"/>
              </w:rPr>
            </w:pPr>
          </w:p>
        </w:tc>
        <w:tc>
          <w:tcPr>
            <w:tcW w:w="804" w:type="pct"/>
            <w:shd w:val="clear" w:color="auto" w:fill="auto"/>
            <w:vAlign w:val="center"/>
          </w:tcPr>
          <w:p w14:paraId="2356B98E">
            <w:pPr>
              <w:pStyle w:val="150"/>
              <w:rPr>
                <w:sz w:val="20"/>
                <w:szCs w:val="20"/>
              </w:rPr>
            </w:pPr>
            <w:r>
              <w:rPr>
                <w:sz w:val="20"/>
                <w:szCs w:val="20"/>
              </w:rPr>
              <w:t>49</w:t>
            </w:r>
          </w:p>
        </w:tc>
        <w:tc>
          <w:tcPr>
            <w:tcW w:w="757" w:type="pct"/>
            <w:vAlign w:val="center"/>
          </w:tcPr>
          <w:p w14:paraId="511949D6">
            <w:pPr>
              <w:pStyle w:val="150"/>
              <w:rPr>
                <w:sz w:val="20"/>
                <w:szCs w:val="20"/>
              </w:rPr>
            </w:pPr>
            <w:r>
              <w:rPr>
                <w:sz w:val="20"/>
                <w:szCs w:val="20"/>
              </w:rPr>
              <w:t>50</w:t>
            </w:r>
          </w:p>
        </w:tc>
      </w:tr>
      <w:tr w14:paraId="2A87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75A563D2">
            <w:pPr>
              <w:pStyle w:val="150"/>
              <w:jc w:val="left"/>
              <w:rPr>
                <w:sz w:val="20"/>
                <w:szCs w:val="20"/>
              </w:rPr>
            </w:pPr>
            <w:r>
              <w:rPr>
                <w:sz w:val="20"/>
                <w:szCs w:val="20"/>
              </w:rPr>
              <w:t>Edukativni seminar/radionice (za profesionalce)</w:t>
            </w:r>
          </w:p>
        </w:tc>
        <w:tc>
          <w:tcPr>
            <w:tcW w:w="782" w:type="pct"/>
            <w:shd w:val="clear" w:color="auto" w:fill="auto"/>
            <w:vAlign w:val="center"/>
          </w:tcPr>
          <w:p w14:paraId="64F371AA">
            <w:pPr>
              <w:pStyle w:val="150"/>
              <w:jc w:val="left"/>
              <w:rPr>
                <w:sz w:val="20"/>
                <w:szCs w:val="20"/>
              </w:rPr>
            </w:pPr>
          </w:p>
        </w:tc>
        <w:tc>
          <w:tcPr>
            <w:tcW w:w="804" w:type="pct"/>
            <w:shd w:val="clear" w:color="auto" w:fill="auto"/>
            <w:vAlign w:val="center"/>
          </w:tcPr>
          <w:p w14:paraId="6A5C62B1">
            <w:pPr>
              <w:pStyle w:val="150"/>
              <w:rPr>
                <w:sz w:val="20"/>
                <w:szCs w:val="20"/>
              </w:rPr>
            </w:pPr>
            <w:r>
              <w:rPr>
                <w:sz w:val="20"/>
                <w:szCs w:val="20"/>
              </w:rPr>
              <w:t>12</w:t>
            </w:r>
          </w:p>
        </w:tc>
        <w:tc>
          <w:tcPr>
            <w:tcW w:w="757" w:type="pct"/>
            <w:vAlign w:val="center"/>
          </w:tcPr>
          <w:p w14:paraId="75431BA1">
            <w:pPr>
              <w:pStyle w:val="150"/>
              <w:rPr>
                <w:sz w:val="20"/>
                <w:szCs w:val="20"/>
              </w:rPr>
            </w:pPr>
            <w:r>
              <w:rPr>
                <w:sz w:val="20"/>
                <w:szCs w:val="20"/>
              </w:rPr>
              <w:t>20</w:t>
            </w:r>
          </w:p>
        </w:tc>
      </w:tr>
      <w:tr w14:paraId="1F2B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3BE66C57">
            <w:pPr>
              <w:pStyle w:val="150"/>
              <w:jc w:val="left"/>
              <w:rPr>
                <w:sz w:val="20"/>
                <w:szCs w:val="20"/>
              </w:rPr>
            </w:pPr>
            <w:r>
              <w:rPr>
                <w:sz w:val="20"/>
                <w:szCs w:val="20"/>
              </w:rPr>
              <w:t xml:space="preserve">Savjetodavni i edukacijski rad s djelatnicima škola za ŠPP </w:t>
            </w:r>
          </w:p>
        </w:tc>
        <w:tc>
          <w:tcPr>
            <w:tcW w:w="782" w:type="pct"/>
            <w:shd w:val="clear" w:color="auto" w:fill="auto"/>
            <w:vAlign w:val="center"/>
          </w:tcPr>
          <w:p w14:paraId="11D728D0">
            <w:pPr>
              <w:pStyle w:val="150"/>
              <w:jc w:val="left"/>
              <w:rPr>
                <w:sz w:val="20"/>
                <w:szCs w:val="20"/>
              </w:rPr>
            </w:pPr>
          </w:p>
        </w:tc>
        <w:tc>
          <w:tcPr>
            <w:tcW w:w="804" w:type="pct"/>
            <w:shd w:val="clear" w:color="auto" w:fill="auto"/>
            <w:vAlign w:val="center"/>
          </w:tcPr>
          <w:p w14:paraId="064579ED">
            <w:pPr>
              <w:pStyle w:val="150"/>
              <w:rPr>
                <w:sz w:val="20"/>
                <w:szCs w:val="20"/>
              </w:rPr>
            </w:pPr>
            <w:r>
              <w:rPr>
                <w:sz w:val="20"/>
                <w:szCs w:val="20"/>
              </w:rPr>
              <w:t>113</w:t>
            </w:r>
          </w:p>
        </w:tc>
        <w:tc>
          <w:tcPr>
            <w:tcW w:w="757" w:type="pct"/>
            <w:vAlign w:val="center"/>
          </w:tcPr>
          <w:p w14:paraId="32631BB7">
            <w:pPr>
              <w:pStyle w:val="150"/>
              <w:rPr>
                <w:sz w:val="20"/>
                <w:szCs w:val="20"/>
              </w:rPr>
            </w:pPr>
            <w:r>
              <w:rPr>
                <w:sz w:val="20"/>
                <w:szCs w:val="20"/>
              </w:rPr>
              <w:t>100</w:t>
            </w:r>
          </w:p>
        </w:tc>
      </w:tr>
      <w:tr w14:paraId="4ADB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26501E4">
            <w:pPr>
              <w:pStyle w:val="150"/>
              <w:jc w:val="left"/>
              <w:rPr>
                <w:sz w:val="20"/>
                <w:szCs w:val="20"/>
              </w:rPr>
            </w:pPr>
            <w:r>
              <w:rPr>
                <w:sz w:val="20"/>
                <w:szCs w:val="20"/>
              </w:rPr>
              <w:t>Programske aktivnostima izvan redovnih programa (sastanci, JZ akcije, projekti i dr.)</w:t>
            </w:r>
          </w:p>
        </w:tc>
        <w:tc>
          <w:tcPr>
            <w:tcW w:w="782" w:type="pct"/>
            <w:shd w:val="clear" w:color="auto" w:fill="auto"/>
            <w:vAlign w:val="center"/>
          </w:tcPr>
          <w:p w14:paraId="080674DA">
            <w:pPr>
              <w:pStyle w:val="150"/>
              <w:jc w:val="left"/>
              <w:rPr>
                <w:sz w:val="20"/>
                <w:szCs w:val="20"/>
              </w:rPr>
            </w:pPr>
          </w:p>
        </w:tc>
        <w:tc>
          <w:tcPr>
            <w:tcW w:w="804" w:type="pct"/>
            <w:shd w:val="clear" w:color="auto" w:fill="auto"/>
            <w:vAlign w:val="center"/>
          </w:tcPr>
          <w:p w14:paraId="7ABD8DAF">
            <w:pPr>
              <w:pStyle w:val="150"/>
              <w:rPr>
                <w:sz w:val="20"/>
                <w:szCs w:val="20"/>
              </w:rPr>
            </w:pPr>
            <w:r>
              <w:rPr>
                <w:sz w:val="20"/>
                <w:szCs w:val="20"/>
              </w:rPr>
              <w:t>57</w:t>
            </w:r>
          </w:p>
        </w:tc>
        <w:tc>
          <w:tcPr>
            <w:tcW w:w="757" w:type="pct"/>
            <w:vAlign w:val="center"/>
          </w:tcPr>
          <w:p w14:paraId="54F15F25">
            <w:pPr>
              <w:pStyle w:val="150"/>
              <w:rPr>
                <w:sz w:val="20"/>
                <w:szCs w:val="20"/>
              </w:rPr>
            </w:pPr>
            <w:r>
              <w:rPr>
                <w:sz w:val="20"/>
                <w:szCs w:val="20"/>
              </w:rPr>
              <w:t>50</w:t>
            </w:r>
          </w:p>
        </w:tc>
      </w:tr>
      <w:tr w14:paraId="197B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729016A2">
            <w:pPr>
              <w:pStyle w:val="150"/>
              <w:jc w:val="left"/>
              <w:rPr>
                <w:sz w:val="20"/>
                <w:szCs w:val="20"/>
              </w:rPr>
            </w:pPr>
            <w:r>
              <w:rPr>
                <w:sz w:val="20"/>
                <w:szCs w:val="20"/>
              </w:rPr>
              <w:t xml:space="preserve">Sudjelovanje u posebnim programima – Facebook, Instagram, </w:t>
            </w:r>
            <w:r>
              <w:rPr>
                <w:i/>
                <w:iCs w:val="0"/>
                <w:sz w:val="20"/>
                <w:szCs w:val="20"/>
              </w:rPr>
              <w:t>Ja – roditelj</w:t>
            </w:r>
          </w:p>
        </w:tc>
        <w:tc>
          <w:tcPr>
            <w:tcW w:w="782" w:type="pct"/>
            <w:shd w:val="clear" w:color="auto" w:fill="auto"/>
            <w:vAlign w:val="center"/>
          </w:tcPr>
          <w:p w14:paraId="1CC14641">
            <w:pPr>
              <w:pStyle w:val="150"/>
              <w:jc w:val="left"/>
              <w:rPr>
                <w:sz w:val="20"/>
                <w:szCs w:val="20"/>
              </w:rPr>
            </w:pPr>
          </w:p>
        </w:tc>
        <w:tc>
          <w:tcPr>
            <w:tcW w:w="804" w:type="pct"/>
            <w:shd w:val="clear" w:color="auto" w:fill="auto"/>
            <w:vAlign w:val="center"/>
          </w:tcPr>
          <w:p w14:paraId="3DB0F9C4">
            <w:pPr>
              <w:pStyle w:val="150"/>
              <w:rPr>
                <w:sz w:val="20"/>
                <w:szCs w:val="20"/>
              </w:rPr>
            </w:pPr>
            <w:r>
              <w:rPr>
                <w:sz w:val="20"/>
                <w:szCs w:val="20"/>
              </w:rPr>
              <w:t>174</w:t>
            </w:r>
          </w:p>
        </w:tc>
        <w:tc>
          <w:tcPr>
            <w:tcW w:w="757" w:type="pct"/>
            <w:vAlign w:val="center"/>
          </w:tcPr>
          <w:p w14:paraId="496A98FD">
            <w:pPr>
              <w:pStyle w:val="150"/>
              <w:rPr>
                <w:sz w:val="20"/>
                <w:szCs w:val="20"/>
              </w:rPr>
            </w:pPr>
            <w:r>
              <w:rPr>
                <w:sz w:val="20"/>
                <w:szCs w:val="20"/>
              </w:rPr>
              <w:t>180</w:t>
            </w:r>
          </w:p>
        </w:tc>
      </w:tr>
      <w:tr w14:paraId="1A9C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4300173C">
            <w:pPr>
              <w:pStyle w:val="150"/>
              <w:jc w:val="left"/>
              <w:rPr>
                <w:sz w:val="20"/>
                <w:szCs w:val="20"/>
              </w:rPr>
            </w:pPr>
            <w:r>
              <w:rPr>
                <w:sz w:val="20"/>
                <w:szCs w:val="20"/>
              </w:rPr>
              <w:t>Organizacija i sudjelovanje u trajnoj edukaciji zdravstvenih djelatnika</w:t>
            </w:r>
          </w:p>
        </w:tc>
        <w:tc>
          <w:tcPr>
            <w:tcW w:w="782" w:type="pct"/>
            <w:shd w:val="clear" w:color="auto" w:fill="auto"/>
            <w:vAlign w:val="center"/>
          </w:tcPr>
          <w:p w14:paraId="758830D6">
            <w:pPr>
              <w:pStyle w:val="150"/>
              <w:jc w:val="left"/>
              <w:rPr>
                <w:sz w:val="20"/>
                <w:szCs w:val="20"/>
              </w:rPr>
            </w:pPr>
          </w:p>
        </w:tc>
        <w:tc>
          <w:tcPr>
            <w:tcW w:w="804" w:type="pct"/>
            <w:shd w:val="clear" w:color="auto" w:fill="auto"/>
            <w:vAlign w:val="center"/>
          </w:tcPr>
          <w:p w14:paraId="04C66BFF">
            <w:pPr>
              <w:pStyle w:val="150"/>
              <w:rPr>
                <w:sz w:val="20"/>
                <w:szCs w:val="20"/>
              </w:rPr>
            </w:pPr>
            <w:r>
              <w:rPr>
                <w:sz w:val="20"/>
                <w:szCs w:val="20"/>
              </w:rPr>
              <w:t>33</w:t>
            </w:r>
          </w:p>
        </w:tc>
        <w:tc>
          <w:tcPr>
            <w:tcW w:w="757" w:type="pct"/>
            <w:vAlign w:val="center"/>
          </w:tcPr>
          <w:p w14:paraId="4B29B8A1">
            <w:pPr>
              <w:pStyle w:val="150"/>
              <w:rPr>
                <w:sz w:val="20"/>
                <w:szCs w:val="20"/>
              </w:rPr>
            </w:pPr>
            <w:r>
              <w:rPr>
                <w:sz w:val="20"/>
                <w:szCs w:val="20"/>
              </w:rPr>
              <w:t>35</w:t>
            </w:r>
          </w:p>
        </w:tc>
      </w:tr>
      <w:tr w14:paraId="488B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0C3DDDB3">
            <w:pPr>
              <w:pStyle w:val="150"/>
              <w:jc w:val="left"/>
              <w:rPr>
                <w:sz w:val="20"/>
                <w:szCs w:val="20"/>
              </w:rPr>
            </w:pPr>
            <w:r>
              <w:rPr>
                <w:sz w:val="20"/>
                <w:szCs w:val="20"/>
              </w:rPr>
              <w:t>Suradnja s nevladinim udrugama i organizacijama</w:t>
            </w:r>
          </w:p>
        </w:tc>
        <w:tc>
          <w:tcPr>
            <w:tcW w:w="782" w:type="pct"/>
            <w:shd w:val="clear" w:color="auto" w:fill="auto"/>
            <w:vAlign w:val="center"/>
          </w:tcPr>
          <w:p w14:paraId="3C6EE48F">
            <w:pPr>
              <w:pStyle w:val="150"/>
              <w:jc w:val="left"/>
              <w:rPr>
                <w:sz w:val="20"/>
                <w:szCs w:val="20"/>
              </w:rPr>
            </w:pPr>
          </w:p>
        </w:tc>
        <w:tc>
          <w:tcPr>
            <w:tcW w:w="804" w:type="pct"/>
            <w:shd w:val="clear" w:color="auto" w:fill="auto"/>
            <w:vAlign w:val="center"/>
          </w:tcPr>
          <w:p w14:paraId="05431533">
            <w:pPr>
              <w:pStyle w:val="150"/>
              <w:rPr>
                <w:sz w:val="20"/>
                <w:szCs w:val="20"/>
              </w:rPr>
            </w:pPr>
            <w:r>
              <w:rPr>
                <w:sz w:val="20"/>
                <w:szCs w:val="20"/>
              </w:rPr>
              <w:t>24</w:t>
            </w:r>
          </w:p>
        </w:tc>
        <w:tc>
          <w:tcPr>
            <w:tcW w:w="757" w:type="pct"/>
            <w:vAlign w:val="center"/>
          </w:tcPr>
          <w:p w14:paraId="7990F16F">
            <w:pPr>
              <w:pStyle w:val="150"/>
              <w:rPr>
                <w:sz w:val="20"/>
                <w:szCs w:val="20"/>
              </w:rPr>
            </w:pPr>
            <w:r>
              <w:rPr>
                <w:sz w:val="20"/>
                <w:szCs w:val="20"/>
              </w:rPr>
              <w:t>20</w:t>
            </w:r>
          </w:p>
        </w:tc>
      </w:tr>
      <w:tr w14:paraId="7645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1B7504C8">
            <w:pPr>
              <w:pStyle w:val="150"/>
              <w:jc w:val="left"/>
              <w:rPr>
                <w:sz w:val="20"/>
                <w:szCs w:val="20"/>
              </w:rPr>
            </w:pPr>
            <w:r>
              <w:rPr>
                <w:sz w:val="20"/>
                <w:szCs w:val="20"/>
              </w:rPr>
              <w:t>Sudjelovanje u radijskim i TV emisijama</w:t>
            </w:r>
          </w:p>
        </w:tc>
        <w:tc>
          <w:tcPr>
            <w:tcW w:w="782" w:type="pct"/>
            <w:shd w:val="clear" w:color="auto" w:fill="auto"/>
            <w:vAlign w:val="center"/>
          </w:tcPr>
          <w:p w14:paraId="73451C02">
            <w:pPr>
              <w:pStyle w:val="150"/>
              <w:jc w:val="left"/>
              <w:rPr>
                <w:sz w:val="20"/>
                <w:szCs w:val="20"/>
              </w:rPr>
            </w:pPr>
          </w:p>
        </w:tc>
        <w:tc>
          <w:tcPr>
            <w:tcW w:w="804" w:type="pct"/>
            <w:shd w:val="clear" w:color="auto" w:fill="auto"/>
            <w:vAlign w:val="center"/>
          </w:tcPr>
          <w:p w14:paraId="3D507123">
            <w:pPr>
              <w:pStyle w:val="150"/>
              <w:rPr>
                <w:sz w:val="20"/>
                <w:szCs w:val="20"/>
              </w:rPr>
            </w:pPr>
            <w:r>
              <w:rPr>
                <w:sz w:val="20"/>
                <w:szCs w:val="20"/>
              </w:rPr>
              <w:t>26</w:t>
            </w:r>
          </w:p>
        </w:tc>
        <w:tc>
          <w:tcPr>
            <w:tcW w:w="757" w:type="pct"/>
            <w:vAlign w:val="center"/>
          </w:tcPr>
          <w:p w14:paraId="521121A8">
            <w:pPr>
              <w:pStyle w:val="150"/>
              <w:rPr>
                <w:sz w:val="20"/>
                <w:szCs w:val="20"/>
              </w:rPr>
            </w:pPr>
            <w:r>
              <w:rPr>
                <w:sz w:val="20"/>
                <w:szCs w:val="20"/>
              </w:rPr>
              <w:t>30</w:t>
            </w:r>
          </w:p>
        </w:tc>
      </w:tr>
      <w:tr w14:paraId="4BDE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52A95D0D">
            <w:pPr>
              <w:pStyle w:val="150"/>
              <w:jc w:val="left"/>
              <w:rPr>
                <w:sz w:val="20"/>
                <w:szCs w:val="20"/>
              </w:rPr>
            </w:pPr>
            <w:r>
              <w:rPr>
                <w:sz w:val="20"/>
                <w:szCs w:val="20"/>
              </w:rPr>
              <w:t>Suradnja s medijima</w:t>
            </w:r>
          </w:p>
        </w:tc>
        <w:tc>
          <w:tcPr>
            <w:tcW w:w="782" w:type="pct"/>
            <w:shd w:val="clear" w:color="auto" w:fill="auto"/>
            <w:vAlign w:val="center"/>
          </w:tcPr>
          <w:p w14:paraId="46639CE8">
            <w:pPr>
              <w:pStyle w:val="150"/>
              <w:jc w:val="left"/>
              <w:rPr>
                <w:sz w:val="20"/>
                <w:szCs w:val="20"/>
              </w:rPr>
            </w:pPr>
          </w:p>
        </w:tc>
        <w:tc>
          <w:tcPr>
            <w:tcW w:w="804" w:type="pct"/>
            <w:shd w:val="clear" w:color="auto" w:fill="auto"/>
            <w:vAlign w:val="center"/>
          </w:tcPr>
          <w:p w14:paraId="76873A4F">
            <w:pPr>
              <w:pStyle w:val="150"/>
              <w:rPr>
                <w:sz w:val="20"/>
                <w:szCs w:val="20"/>
              </w:rPr>
            </w:pPr>
            <w:r>
              <w:rPr>
                <w:sz w:val="20"/>
                <w:szCs w:val="20"/>
              </w:rPr>
              <w:t>23</w:t>
            </w:r>
          </w:p>
        </w:tc>
        <w:tc>
          <w:tcPr>
            <w:tcW w:w="757" w:type="pct"/>
            <w:vAlign w:val="center"/>
          </w:tcPr>
          <w:p w14:paraId="3CD4D439">
            <w:pPr>
              <w:pStyle w:val="150"/>
              <w:rPr>
                <w:sz w:val="20"/>
                <w:szCs w:val="20"/>
              </w:rPr>
            </w:pPr>
            <w:r>
              <w:rPr>
                <w:sz w:val="20"/>
                <w:szCs w:val="20"/>
              </w:rPr>
              <w:t>30</w:t>
            </w:r>
          </w:p>
        </w:tc>
      </w:tr>
      <w:tr w14:paraId="43E3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57" w:type="pct"/>
            <w:shd w:val="clear" w:color="auto" w:fill="auto"/>
            <w:vAlign w:val="center"/>
          </w:tcPr>
          <w:p w14:paraId="2C63AB4B">
            <w:pPr>
              <w:pStyle w:val="150"/>
              <w:jc w:val="left"/>
              <w:rPr>
                <w:sz w:val="20"/>
                <w:szCs w:val="20"/>
              </w:rPr>
            </w:pPr>
            <w:r>
              <w:rPr>
                <w:sz w:val="20"/>
                <w:szCs w:val="20"/>
              </w:rPr>
              <w:t>Obilježavanje važnijih datuma</w:t>
            </w:r>
          </w:p>
        </w:tc>
        <w:tc>
          <w:tcPr>
            <w:tcW w:w="782" w:type="pct"/>
            <w:shd w:val="clear" w:color="auto" w:fill="auto"/>
            <w:vAlign w:val="center"/>
          </w:tcPr>
          <w:p w14:paraId="06AF320B">
            <w:pPr>
              <w:pStyle w:val="150"/>
              <w:jc w:val="left"/>
              <w:rPr>
                <w:sz w:val="20"/>
                <w:szCs w:val="20"/>
              </w:rPr>
            </w:pPr>
          </w:p>
        </w:tc>
        <w:tc>
          <w:tcPr>
            <w:tcW w:w="804" w:type="pct"/>
            <w:shd w:val="clear" w:color="auto" w:fill="auto"/>
            <w:vAlign w:val="center"/>
          </w:tcPr>
          <w:p w14:paraId="0A1F82A7">
            <w:pPr>
              <w:pStyle w:val="150"/>
              <w:rPr>
                <w:sz w:val="20"/>
                <w:szCs w:val="20"/>
              </w:rPr>
            </w:pPr>
            <w:r>
              <w:rPr>
                <w:sz w:val="20"/>
                <w:szCs w:val="20"/>
              </w:rPr>
              <w:t>25</w:t>
            </w:r>
          </w:p>
        </w:tc>
        <w:tc>
          <w:tcPr>
            <w:tcW w:w="757" w:type="pct"/>
            <w:vAlign w:val="center"/>
          </w:tcPr>
          <w:p w14:paraId="75E3EC0C">
            <w:pPr>
              <w:pStyle w:val="150"/>
              <w:rPr>
                <w:sz w:val="20"/>
                <w:szCs w:val="20"/>
              </w:rPr>
            </w:pPr>
            <w:r>
              <w:rPr>
                <w:sz w:val="20"/>
                <w:szCs w:val="20"/>
              </w:rPr>
              <w:t>25</w:t>
            </w:r>
          </w:p>
        </w:tc>
      </w:tr>
    </w:tbl>
    <w:p w14:paraId="558D726C">
      <w:r>
        <w:br w:type="page"/>
      </w:r>
    </w:p>
    <w:p w14:paraId="071E5ACF"/>
    <w:p w14:paraId="328E770A">
      <w:pPr>
        <w:pStyle w:val="2"/>
      </w:pPr>
      <w:bookmarkStart w:id="34" w:name="_Toc84862514"/>
      <w:bookmarkStart w:id="35" w:name="_Toc184821167"/>
      <w:r>
        <w:t>9. Služba za znanost i nastavu</w:t>
      </w:r>
      <w:bookmarkEnd w:id="34"/>
      <w:bookmarkEnd w:id="35"/>
    </w:p>
    <w:p w14:paraId="1E798B2F"/>
    <w:p w14:paraId="0F734764">
      <w:pPr>
        <w:pStyle w:val="147"/>
      </w:pPr>
      <w:r>
        <w:t>SAŽETAK DJELOKRUGA RADA</w:t>
      </w:r>
    </w:p>
    <w:p w14:paraId="54867ACE">
      <w:r>
        <w:t xml:space="preserve">U Službi se odvijaju znanstveno-istraživačke, nastavne i publicističko-informativne aktivnosti te poslovi potpore radu Ureda ravnatelja i službama Zavoda: (1.) znanstveni i stručni rad, organizacija farmakoepidemioloških tribina, </w:t>
      </w:r>
      <w:bookmarkStart w:id="36" w:name="_Hlk123818895"/>
      <w:r>
        <w:t>podatkovne i statističke analize podataka za potrebe sastavljanja izvještaja o radu i naturalnim pokazateljima</w:t>
      </w:r>
      <w:bookmarkEnd w:id="36"/>
      <w:r>
        <w:t xml:space="preserve"> te stručnih i znanstvenih radova, nabava stručne i znanstvene literature za potrebe Zavoda i Knjižnice, evidencija i izvještavanje o stručnom i znanstvenom radu te znanstvenicima Zavoda, osiguravanje usklađenosti istraživanja s etičkim principima provođenja istraživanja; (2.) koordinacija i evidencija nastave i prakse učenika i studenata u Zavodu; (3.) uređivanje i objavljivanje godišnjega </w:t>
      </w:r>
      <w:r>
        <w:rPr>
          <w:i/>
          <w:iCs/>
        </w:rPr>
        <w:t>Pregleda stručnih i znanstvenih radova</w:t>
      </w:r>
      <w:r>
        <w:t xml:space="preserve"> te uređivanje </w:t>
      </w:r>
      <w:r>
        <w:rPr>
          <w:i/>
          <w:iCs/>
        </w:rPr>
        <w:t>Zdravstveno-statističkoga ljetopisa Grada Zagreba</w:t>
      </w:r>
      <w:r>
        <w:t xml:space="preserve"> u suradnji sa Službom za javno zdravstvo; (4.) planiranje, organizacija i realizacija odnosa s medijima i javnošću; planiranje, organizacija i realizacija odnosa sa suradničkim ustanovama i tvrtkama; organizacija javnih događanja u Zavodu i izvan njega; dizajn, priprema, uređivanje tiskanih i elektroničkih publikacija te drugih informativnih sadržaja o aktivnostima Zavoda; uređivanje sadržaja </w:t>
      </w:r>
      <w:r>
        <w:rPr>
          <w:i/>
          <w:iCs/>
        </w:rPr>
        <w:t>Web</w:t>
      </w:r>
      <w:r>
        <w:t xml:space="preserve">-portala Zavoda i e-časopisa </w:t>
      </w:r>
      <w:r>
        <w:rPr>
          <w:i/>
          <w:iCs/>
        </w:rPr>
        <w:t>Zdravlje za sve</w:t>
      </w:r>
      <w:r>
        <w:t>; (5.) priprema izvještaja, prezentacija i dokumenata za Upravu, rezervacija termina korištenja dvorana Zavoda i briga za resurse Knjižnice; (6.) analiza, praćenje propisa i programskih dokumenata za korištenje sredstava Europske unije (EU) i drugih izvora financiranja, administrativna i organizacijska potpora projektnim timovima Zavoda u pripremi, prijavi i provedbi projekata.</w:t>
      </w:r>
    </w:p>
    <w:p w14:paraId="46220282">
      <w:r>
        <w:t xml:space="preserve">U Službi djeluje </w:t>
      </w:r>
      <w:r>
        <w:rPr>
          <w:i/>
          <w:iCs/>
        </w:rPr>
        <w:t>Referentni centar Ministarstva zdravstva za farmakoepidemiologiju</w:t>
      </w:r>
      <w:r>
        <w:t xml:space="preserve"> te je u njezinoj odgovornosti Knjižnica.</w:t>
      </w:r>
    </w:p>
    <w:p w14:paraId="778048BC"/>
    <w:p w14:paraId="5B1D3CB9"/>
    <w:p w14:paraId="25A0CEA8">
      <w:pPr>
        <w:pStyle w:val="147"/>
      </w:pPr>
      <w:r>
        <w:t>OBRAZLOŽENJE PROGRAMA RADA</w:t>
      </w:r>
    </w:p>
    <w:p w14:paraId="2524B8D5">
      <w:r>
        <w:rPr>
          <w:b/>
          <w:bCs/>
        </w:rPr>
        <w:t>Znanstveni i stručni rad.</w:t>
      </w:r>
      <w:r>
        <w:t xml:space="preserve"> Potpora znanstveno-istraživačkom radu istraživačima u Zavodu.</w:t>
      </w:r>
    </w:p>
    <w:p w14:paraId="0CD386E5">
      <w:r>
        <w:rPr>
          <w:b/>
          <w:bCs/>
        </w:rPr>
        <w:t>Organizacija farmakoepidemioloških tribina.</w:t>
      </w:r>
      <w:r>
        <w:t xml:space="preserve"> U 2025. godini planiramo organizirati barem četiri farmakoepidemiološke tribine.</w:t>
      </w:r>
    </w:p>
    <w:p w14:paraId="29EAA58E">
      <w:bookmarkStart w:id="37" w:name="_Hlk121742105"/>
      <w:r>
        <w:rPr>
          <w:b/>
          <w:bCs/>
        </w:rPr>
        <w:t>Podatkovne i statističke analize podataka.</w:t>
      </w:r>
      <w:r>
        <w:t xml:space="preserve"> Savjetodavna potpora istraživačima u postupcima prikupljanja podataka i pripreme za statističku analizu. Nastavak sastavljanja </w:t>
      </w:r>
      <w:r>
        <w:rPr>
          <w:i/>
          <w:iCs/>
        </w:rPr>
        <w:t>izvještajâ o naturalnim pokazateljima</w:t>
      </w:r>
      <w:r>
        <w:t xml:space="preserve"> (mjesečno i kvartalno).</w:t>
      </w:r>
    </w:p>
    <w:bookmarkEnd w:id="37"/>
    <w:p w14:paraId="29DE126D">
      <w:r>
        <w:rPr>
          <w:b/>
          <w:bCs/>
        </w:rPr>
        <w:t>Izvještaji o radu.</w:t>
      </w:r>
      <w:r>
        <w:t xml:space="preserve"> Uređivanje kvartalnih, polugodišnjeg i godišnjeg </w:t>
      </w:r>
      <w:r>
        <w:rPr>
          <w:i/>
          <w:iCs/>
        </w:rPr>
        <w:t>Izvještaja o radu</w:t>
      </w:r>
      <w:r>
        <w:t>.</w:t>
      </w:r>
    </w:p>
    <w:p w14:paraId="4775B145">
      <w:pPr>
        <w:rPr>
          <w:i/>
          <w:iCs/>
        </w:rPr>
      </w:pPr>
      <w:r>
        <w:rPr>
          <w:b/>
          <w:bCs/>
        </w:rPr>
        <w:t>Evidencija i izvještavanje o stručnom i znanstvenom radu i znanstvenicima Zavoda.</w:t>
      </w:r>
      <w:r>
        <w:t xml:space="preserve"> Priprema </w:t>
      </w:r>
      <w:r>
        <w:rPr>
          <w:i/>
          <w:iCs/>
        </w:rPr>
        <w:t>Godišnjeg izvještaja o istraživanju i razvoju za 2024. godinu</w:t>
      </w:r>
      <w:r>
        <w:t xml:space="preserve"> za Državni zavod za statistiku. Ažuriranje </w:t>
      </w:r>
      <w:r>
        <w:rPr>
          <w:i/>
          <w:iCs/>
        </w:rPr>
        <w:t>Upisnika znanstvenika</w:t>
      </w:r>
      <w:r>
        <w:t>.</w:t>
      </w:r>
    </w:p>
    <w:p w14:paraId="091E7D76">
      <w:pPr>
        <w:rPr>
          <w:b/>
        </w:rPr>
      </w:pPr>
      <w:r>
        <w:rPr>
          <w:b/>
        </w:rPr>
        <w:t>Poslovi koordinacije rada Etičkog povjerenstva.</w:t>
      </w:r>
    </w:p>
    <w:p w14:paraId="71BFBFBA">
      <w:r>
        <w:rPr>
          <w:b/>
          <w:bCs/>
        </w:rPr>
        <w:t>Koordinacija i evidencija prakse učenika i studenata u Zavodu i studijskih posjeta.</w:t>
      </w:r>
      <w:r>
        <w:t xml:space="preserve"> Koordinacija dolaska učenika i studenata na praksu, ovisno o potrebama i mogućnostima Zavoda. Vođenje evidencije o obavljenoj praksi i obilascima specijalizanata.</w:t>
      </w:r>
    </w:p>
    <w:p w14:paraId="642B34AF">
      <w:r>
        <w:rPr>
          <w:b/>
          <w:bCs/>
        </w:rPr>
        <w:t xml:space="preserve">Uređivanje i objavljivanje godišnjega </w:t>
      </w:r>
      <w:r>
        <w:rPr>
          <w:b/>
          <w:bCs/>
          <w:i/>
          <w:iCs/>
        </w:rPr>
        <w:t>Pregleda stručnih i znanstvenih radova</w:t>
      </w:r>
      <w:r>
        <w:rPr>
          <w:b/>
          <w:bCs/>
        </w:rPr>
        <w:t xml:space="preserve"> te uređivanje </w:t>
      </w:r>
      <w:r>
        <w:rPr>
          <w:b/>
          <w:bCs/>
          <w:i/>
          <w:iCs/>
        </w:rPr>
        <w:t>Zdravstveno-statističkoga ljetopisa Grada Zagreba</w:t>
      </w:r>
      <w:r>
        <w:rPr>
          <w:b/>
          <w:bCs/>
        </w:rPr>
        <w:t>.</w:t>
      </w:r>
      <w:r>
        <w:t xml:space="preserve"> U 2025. godini sastavit će se i objaviti </w:t>
      </w:r>
      <w:r>
        <w:rPr>
          <w:i/>
          <w:iCs/>
        </w:rPr>
        <w:t>Pregled 2024. znanstveni i stručni radovi</w:t>
      </w:r>
      <w:r>
        <w:t xml:space="preserve"> te </w:t>
      </w:r>
      <w:r>
        <w:rPr>
          <w:i/>
          <w:iCs/>
        </w:rPr>
        <w:t>Review 2024 – scientific articles published in indexed journals</w:t>
      </w:r>
      <w:r>
        <w:t xml:space="preserve"> te provoditi uređivanje </w:t>
      </w:r>
      <w:r>
        <w:rPr>
          <w:i/>
          <w:iCs/>
        </w:rPr>
        <w:t>Zdravstveno-statističkoga ljetopisa Grada Zagreba za 2024. godinu,</w:t>
      </w:r>
      <w:r>
        <w:t xml:space="preserve"> u suradnji sa Službom za javno zdravstvo.</w:t>
      </w:r>
    </w:p>
    <w:p w14:paraId="68910FFD">
      <w:r>
        <w:rPr>
          <w:b/>
          <w:bCs/>
        </w:rPr>
        <w:t>Planiranje, organizacija i realizacija odnosa s medijima i javnošću.</w:t>
      </w:r>
      <w:r>
        <w:t xml:space="preserve"> Administriranje e-adresa </w:t>
      </w:r>
      <w:r>
        <w:rPr>
          <w:i/>
          <w:iCs/>
        </w:rPr>
        <w:t>info@stampar.hr i komunikacije@stampar.hr</w:t>
      </w:r>
      <w:r>
        <w:t xml:space="preserve">. Odgovaranje na novinarske upite, suradnja u pripremi članaka i priloga te objava istih na internetskim stranicama, organizacija snimanja reportaža, izjava, intervjua, gostovanja stručnjaka Zavoda u radijskim i televizijskim emisijama. Koordinacija administriranja i održavanja profila Zavoda na društvenim mrežama </w:t>
      </w:r>
      <w:r>
        <w:rPr>
          <w:i/>
          <w:iCs/>
        </w:rPr>
        <w:t>Facebook,</w:t>
      </w:r>
      <w:r>
        <w:t xml:space="preserve"> </w:t>
      </w:r>
      <w:r>
        <w:rPr>
          <w:i/>
          <w:iCs/>
        </w:rPr>
        <w:t>Instagram i YouTube</w:t>
      </w:r>
      <w:r>
        <w:t xml:space="preserve">. Objavljivanje priloga na internetskim stranicama Zavoda. Koordinacija rada </w:t>
      </w:r>
      <w:r>
        <w:rPr>
          <w:i/>
          <w:iCs/>
        </w:rPr>
        <w:t>Web</w:t>
      </w:r>
      <w:r>
        <w:t>-uredništva.</w:t>
      </w:r>
    </w:p>
    <w:p w14:paraId="201F44C3">
      <w:r>
        <w:rPr>
          <w:b/>
          <w:bCs/>
        </w:rPr>
        <w:t xml:space="preserve">Organizacija javnih događanja u organizaciji Zavoda. </w:t>
      </w:r>
      <w:r>
        <w:t>Poslovi organizacije javnih događanja unutar i izvan Zavoda (</w:t>
      </w:r>
      <w:r>
        <w:rPr>
          <w:i/>
          <w:iCs/>
        </w:rPr>
        <w:t>Dan Zavoda</w:t>
      </w:r>
      <w:r>
        <w:t xml:space="preserve">, javnozdravstvene akcije, tribine, simpoziji, kongresi, ukrašavanje Zavoda uoči blagdana i sl.), sudjelovanje u radu radnih grupa za promicanje djelatnosti i usluga Zavoda audio-vizualnim sredstvima komuniciranja i za organizaciju </w:t>
      </w:r>
      <w:r>
        <w:rPr>
          <w:i/>
          <w:iCs/>
        </w:rPr>
        <w:t>Sajma zdravlja: Štampar u tvom kvartu</w:t>
      </w:r>
      <w:r>
        <w:t>.</w:t>
      </w:r>
    </w:p>
    <w:p w14:paraId="6A9DBD3C">
      <w:r>
        <w:rPr>
          <w:b/>
          <w:bCs/>
        </w:rPr>
        <w:t>Priprema i uređivanje tiskanih i elektroničkih publikacija te drugih informativnih sadržaja o aktivnostima Zavoda.</w:t>
      </w:r>
      <w:r>
        <w:t xml:space="preserve"> Oblikovanje, prijelom, grafička priprema, jezična i stilska korektura publikacija, postera, brošura, pozivnica, zahvalnica, čestitki, letaka i dr.</w:t>
      </w:r>
    </w:p>
    <w:p w14:paraId="4071A32E">
      <w:r>
        <w:rPr>
          <w:b/>
          <w:bCs/>
        </w:rPr>
        <w:t>Projektne aktivnosti.</w:t>
      </w:r>
      <w:r>
        <w:t xml:space="preserve"> Vođenje evidencije o planiranju i provedbi projekata u kojima je Zavod nositelj ili partner drugim nositeljima projekata. Sudjelovanje u pripremi projektne dokumentacije. Redovito praćenje poziva i natječaja u sklopu višegodišnjeg financijskog okvira 2021. – 2027. i instrumenata EU za oporavak te EU sljedeće generacije (</w:t>
      </w:r>
      <w:r>
        <w:rPr>
          <w:i/>
          <w:iCs/>
        </w:rPr>
        <w:t>Next Generation EU</w:t>
      </w:r>
      <w:r>
        <w:t xml:space="preserve"> – NGEU). Analiza, praćenje propisa i programskih dokumenata za korištenje sredstava Europske unije (EU) i drugih izvora financiranja; administrativna i organizacijska potpora projektnim timovima Zavoda u pripremi, prijavi i provedbi projekata.</w:t>
      </w:r>
    </w:p>
    <w:p w14:paraId="628DE344">
      <w:bookmarkStart w:id="38" w:name="_Hlk121923283"/>
      <w:bookmarkStart w:id="39" w:name="_Hlk121923676"/>
      <w:r>
        <w:rPr>
          <w:b/>
          <w:bCs/>
        </w:rPr>
        <w:t>Praćenje promjena regulative.</w:t>
      </w:r>
      <w:r>
        <w:t xml:space="preserve"> Praćenje zakonskih promjena u kontekstu upravljanja kvalitetom, okolišem i akreditacijama, prema propisanim normama radi poduzimanja odgovarajućih postupaka prilagodbe promjenama.</w:t>
      </w:r>
    </w:p>
    <w:bookmarkEnd w:id="38"/>
    <w:bookmarkEnd w:id="39"/>
    <w:p w14:paraId="78549372">
      <w:r>
        <w:rPr>
          <w:b/>
          <w:bCs/>
        </w:rPr>
        <w:t xml:space="preserve">Referentni centar za farmakoepidemiologiju. </w:t>
      </w:r>
      <w:r>
        <w:t xml:space="preserve">U sklopu Službe nalazi se Referentni centar za farmakoepidemiologiju, čija je obnova statusa Referentnog centra planirana tijekom 2025. godine. Glavne aktivnosti Referentnog centra u 2025. odnose se na: </w:t>
      </w:r>
    </w:p>
    <w:p w14:paraId="5FA98442">
      <w:pPr>
        <w:numPr>
          <w:ilvl w:val="0"/>
          <w:numId w:val="58"/>
        </w:numPr>
      </w:pPr>
      <w:r>
        <w:t>provođenje farmakoepidemioloških studija čiji ishodi su relevantni/namijenjeni drugim Službama Zavoda ili partnerima izvan institucije (MIZ, HZJZ, HZZO)</w:t>
      </w:r>
    </w:p>
    <w:p w14:paraId="0543BDF5">
      <w:pPr>
        <w:numPr>
          <w:ilvl w:val="0"/>
          <w:numId w:val="58"/>
        </w:numPr>
      </w:pPr>
      <w:r>
        <w:t>ostvarivanje formalne suradnje s vanjskim partnerima, što uključuje akademske institucije (Medicinski fakultet Sveučilišta u Rijeci, Farmaceutsko-biokemijski fakultet Sveučilišta u Zagrebu i slično), javne ustanove (npr. HZJZ), udruge pacijenata (Koalicija udruga u zdravstvu) ili partnerima izvan RH (Uppsala University, Švedska)</w:t>
      </w:r>
    </w:p>
    <w:p w14:paraId="12DB1BA6">
      <w:pPr>
        <w:numPr>
          <w:ilvl w:val="0"/>
          <w:numId w:val="58"/>
        </w:numPr>
      </w:pPr>
      <w:r>
        <w:t>pokretanje istraživanja u segmentima koji su važni za javno zdravlje (ekofarmakoepidemiologija, farmakoepidemiologija veterinarskih lijekova) koji do sada nisu bili zastupljeni u radu RC-a</w:t>
      </w:r>
    </w:p>
    <w:p w14:paraId="7AC07941">
      <w:pPr>
        <w:numPr>
          <w:ilvl w:val="0"/>
          <w:numId w:val="58"/>
        </w:numPr>
      </w:pPr>
      <w:r>
        <w:t>aktivno traženje prilika za projektne prijave u domeni farmakoepidemiologije</w:t>
      </w:r>
    </w:p>
    <w:p w14:paraId="44F8BD88">
      <w:pPr>
        <w:numPr>
          <w:ilvl w:val="0"/>
          <w:numId w:val="58"/>
        </w:numPr>
      </w:pPr>
      <w:r>
        <w:t>publiciranje stručnih i znanstvenih radova iz domene rada RC-a te organizacija farmakoepidemioloških tribina</w:t>
      </w:r>
    </w:p>
    <w:p w14:paraId="158BDB42">
      <w:pPr>
        <w:numPr>
          <w:ilvl w:val="0"/>
          <w:numId w:val="58"/>
        </w:numPr>
      </w:pPr>
      <w:r>
        <w:t>edukacija studenata iz područja farmakoepidemiologije na dodiplomskim i poslijediplomskim studijima zdravstvenih fakulteta.</w:t>
      </w:r>
    </w:p>
    <w:p w14:paraId="31672614"/>
    <w:p w14:paraId="2D212FFB">
      <w:pPr>
        <w:pStyle w:val="147"/>
      </w:pPr>
      <w:r>
        <w:t>ZAKONSKE I DRUGE PRAVNE OSNOVE NA KOJIMA SE ZASNIVAJU PROGRAMI</w:t>
      </w:r>
    </w:p>
    <w:p w14:paraId="6D3A8A65">
      <w:pPr>
        <w:numPr>
          <w:ilvl w:val="0"/>
          <w:numId w:val="59"/>
        </w:numPr>
      </w:pPr>
      <w:r>
        <w:t>Zakon o visokom obrazovanju i znanstvenoj djelatnosti (NN 119/22)</w:t>
      </w:r>
    </w:p>
    <w:p w14:paraId="79DC3934">
      <w:pPr>
        <w:numPr>
          <w:ilvl w:val="0"/>
          <w:numId w:val="59"/>
        </w:numPr>
      </w:pPr>
      <w:r>
        <w:t>Zakon o osiguravanju kvalitete u znanosti i visokom obrazovanju (NN 45/09)</w:t>
      </w:r>
    </w:p>
    <w:p w14:paraId="108B6B1E">
      <w:pPr>
        <w:numPr>
          <w:ilvl w:val="0"/>
          <w:numId w:val="59"/>
        </w:numPr>
      </w:pPr>
      <w:r>
        <w:t>Pravilnik o uvjetima za izdavanje dopusnice za obavljanje znanstvene djelatnosti, uvjetima za reakreditaciju znanstvenih organizacija i sadržaju dopusnice (NN 83/10)</w:t>
      </w:r>
    </w:p>
    <w:p w14:paraId="4F990EAD">
      <w:pPr>
        <w:numPr>
          <w:ilvl w:val="0"/>
          <w:numId w:val="59"/>
        </w:numPr>
      </w:pPr>
      <w:r>
        <w:t>Pravilnik o Upisniku znanstvenih organizacija i Upisniku visokih učilišta (NN 72/04, 80/04, 29/18)</w:t>
      </w:r>
    </w:p>
    <w:p w14:paraId="3DD4E634">
      <w:pPr>
        <w:numPr>
          <w:ilvl w:val="0"/>
          <w:numId w:val="59"/>
        </w:numPr>
      </w:pPr>
      <w:r>
        <w:t>Pravilnik o Upisniku znanstvenika (NN 72/04, 101/04, 82/10)</w:t>
      </w:r>
    </w:p>
    <w:p w14:paraId="2B902D30">
      <w:pPr>
        <w:numPr>
          <w:ilvl w:val="0"/>
          <w:numId w:val="59"/>
        </w:numPr>
      </w:pPr>
      <w:r>
        <w:t>Zakon o pravu na pristup informacijama (NN 25/13, 85/15, 69/22)</w:t>
      </w:r>
    </w:p>
    <w:p w14:paraId="55224B2D">
      <w:pPr>
        <w:numPr>
          <w:ilvl w:val="0"/>
          <w:numId w:val="59"/>
        </w:numPr>
      </w:pPr>
      <w:r>
        <w:t>Zakon o medijima (NN 59/04, 84/11, 81/13, 114/22)</w:t>
      </w:r>
    </w:p>
    <w:p w14:paraId="1FAAD4CB">
      <w:pPr>
        <w:numPr>
          <w:ilvl w:val="0"/>
          <w:numId w:val="59"/>
        </w:numPr>
      </w:pPr>
      <w:r>
        <w:t>Zakon o elektroničkim medijima (NN 111/21, 114/22)</w:t>
      </w:r>
    </w:p>
    <w:p w14:paraId="77B2223F">
      <w:pPr>
        <w:numPr>
          <w:ilvl w:val="0"/>
          <w:numId w:val="59"/>
        </w:numPr>
      </w:pPr>
      <w:r>
        <w:t>Pravilnik o mjerilima za dodjelu i obnovu naziva referentnog centra ministarstva nadležnog za zdravstvo (NN 77/05).</w:t>
      </w:r>
    </w:p>
    <w:p w14:paraId="656241A1"/>
    <w:p w14:paraId="7B2E8A3E">
      <w:pPr>
        <w:pStyle w:val="147"/>
      </w:pPr>
      <w:bookmarkStart w:id="40" w:name="_Hlk121742394"/>
      <w:r>
        <w:t>ISHODIŠTE I POKAZATELJI NA KOJIMA SE ZASNIVAJU IZRAČUNI I OCJENE POTREBNIH SREDSTAVA ZA PROVOĐENJE PROGRAMA</w:t>
      </w:r>
    </w:p>
    <w:p w14:paraId="437A6C6D">
      <w:pPr>
        <w:rPr>
          <w:spacing w:val="-6"/>
        </w:rPr>
      </w:pPr>
      <w:r>
        <w:rPr>
          <w:spacing w:val="-6"/>
        </w:rPr>
        <w:t>Služba je suradnička ostalim službama/centrima te ne stječe prihode od HZZO-a ili na tržištu.</w:t>
      </w:r>
    </w:p>
    <w:p w14:paraId="4A9E6DD6">
      <w:r>
        <w:t>Iz Proračuna Grada Zagreba primit će se sredstva za provođenje programa „Zagreb – zdravi dom: program javnozdravstvene intervencije s doseljeničkom populacijom“ (Program se provodi u suradnji sa Službom za mentalno zdravlje i prevenciju ovisnosti, kao i Službom za javno zdravstvo) te programa „Edukacija o racionalnoj upotrebi lijekova u domovima za starije osobe u Gradu Zagrebu“ (nositelj programa je Služba za javnozdravstvenu gerontologiju).</w:t>
      </w:r>
    </w:p>
    <w:bookmarkEnd w:id="40"/>
    <w:p w14:paraId="7BA11D59"/>
    <w:p w14:paraId="0BE3FAFE">
      <w:pPr>
        <w:pStyle w:val="147"/>
      </w:pPr>
      <w:r>
        <w:t>POKAZATELJI PRAĆENJA AKTIVNOSTI</w:t>
      </w:r>
    </w:p>
    <w:p w14:paraId="44209B4B">
      <w:pPr>
        <w:numPr>
          <w:ilvl w:val="0"/>
          <w:numId w:val="60"/>
        </w:numPr>
      </w:pPr>
      <w:r>
        <w:t xml:space="preserve">broj pripremljenih </w:t>
      </w:r>
      <w:r>
        <w:rPr>
          <w:i/>
          <w:iCs/>
        </w:rPr>
        <w:t>izvještaja o naturalnim pokazateljima</w:t>
      </w:r>
      <w:r>
        <w:t xml:space="preserve"> (mjesečni i kvartalni)</w:t>
      </w:r>
    </w:p>
    <w:p w14:paraId="31F26EDA">
      <w:pPr>
        <w:numPr>
          <w:ilvl w:val="0"/>
          <w:numId w:val="60"/>
        </w:numPr>
      </w:pPr>
      <w:r>
        <w:t xml:space="preserve">broj pripremljenih </w:t>
      </w:r>
      <w:r>
        <w:rPr>
          <w:i/>
          <w:iCs/>
        </w:rPr>
        <w:t>izvještaja o radu</w:t>
      </w:r>
      <w:r>
        <w:t xml:space="preserve"> (kvartalni, polugodišnji, godišnji)</w:t>
      </w:r>
    </w:p>
    <w:p w14:paraId="3C937C89">
      <w:pPr>
        <w:numPr>
          <w:ilvl w:val="0"/>
          <w:numId w:val="60"/>
        </w:numPr>
      </w:pPr>
      <w:r>
        <w:t xml:space="preserve">uređen i objavljen </w:t>
      </w:r>
      <w:r>
        <w:rPr>
          <w:i/>
          <w:iCs/>
        </w:rPr>
        <w:t>Pregled 2024. Stručni i znanstveni radovi</w:t>
      </w:r>
      <w:r>
        <w:t xml:space="preserve"> te </w:t>
      </w:r>
      <w:r>
        <w:rPr>
          <w:i/>
          <w:iCs/>
        </w:rPr>
        <w:t>Review 2024</w:t>
      </w:r>
      <w:r>
        <w:t xml:space="preserve"> te uređen </w:t>
      </w:r>
      <w:r>
        <w:rPr>
          <w:i/>
          <w:iCs/>
        </w:rPr>
        <w:t>Zdravstveno-statistički ljetopis Grada Zagreba za 2024. godinu</w:t>
      </w:r>
    </w:p>
    <w:p w14:paraId="011D575C">
      <w:pPr>
        <w:numPr>
          <w:ilvl w:val="0"/>
          <w:numId w:val="60"/>
        </w:numPr>
      </w:pPr>
      <w:r>
        <w:t xml:space="preserve">pripremljen </w:t>
      </w:r>
      <w:r>
        <w:rPr>
          <w:i/>
          <w:iCs/>
        </w:rPr>
        <w:t>Godišnji izvještaj o istraživanju i razvoju za 2024. godinu</w:t>
      </w:r>
      <w:r>
        <w:t xml:space="preserve"> i predan Državnom zavodu za statistiku</w:t>
      </w:r>
    </w:p>
    <w:p w14:paraId="5DAD11C1">
      <w:pPr>
        <w:numPr>
          <w:ilvl w:val="0"/>
          <w:numId w:val="60"/>
        </w:numPr>
      </w:pPr>
      <w:r>
        <w:t xml:space="preserve">ažuriran </w:t>
      </w:r>
      <w:r>
        <w:rPr>
          <w:i/>
          <w:iCs/>
        </w:rPr>
        <w:t>Upisnik znanstvenika</w:t>
      </w:r>
    </w:p>
    <w:p w14:paraId="538EEED5">
      <w:pPr>
        <w:numPr>
          <w:ilvl w:val="0"/>
          <w:numId w:val="60"/>
        </w:numPr>
      </w:pPr>
      <w:r>
        <w:t>broj razmatranih predmeta Etičkog povjerenstva</w:t>
      </w:r>
    </w:p>
    <w:p w14:paraId="2D6D3EE4">
      <w:pPr>
        <w:numPr>
          <w:ilvl w:val="0"/>
          <w:numId w:val="60"/>
        </w:numPr>
      </w:pPr>
      <w:r>
        <w:t>pripremljena evidencija o obavljenoj praksi te obilascima specijalizanata</w:t>
      </w:r>
    </w:p>
    <w:p w14:paraId="53127EAE">
      <w:pPr>
        <w:numPr>
          <w:ilvl w:val="0"/>
          <w:numId w:val="60"/>
        </w:numPr>
      </w:pPr>
      <w:r>
        <w:t>broj podržanih javnozdravstvenih akcija i drugih događanja u organizaciji Zavoda</w:t>
      </w:r>
    </w:p>
    <w:p w14:paraId="0792A87D">
      <w:pPr>
        <w:numPr>
          <w:ilvl w:val="0"/>
          <w:numId w:val="60"/>
        </w:numPr>
      </w:pPr>
      <w:r>
        <w:t>broj odobrenih pokroviteljstava</w:t>
      </w:r>
    </w:p>
    <w:p w14:paraId="20567DA2">
      <w:pPr>
        <w:numPr>
          <w:ilvl w:val="0"/>
          <w:numId w:val="60"/>
        </w:numPr>
      </w:pPr>
      <w:r>
        <w:t>broj provedenih projekata i programa u suradnji s drugim službama</w:t>
      </w:r>
    </w:p>
    <w:p w14:paraId="311E6880">
      <w:pPr>
        <w:numPr>
          <w:ilvl w:val="0"/>
          <w:numId w:val="60"/>
        </w:numPr>
      </w:pPr>
      <w:r>
        <w:t>broj pripremljenih i prijavljenih novih projekata u potpori drugim službama Zavoda</w:t>
      </w:r>
    </w:p>
    <w:p w14:paraId="769BB643">
      <w:pPr>
        <w:numPr>
          <w:ilvl w:val="0"/>
          <w:numId w:val="60"/>
        </w:numPr>
      </w:pPr>
      <w:r>
        <w:t>broj pripremljenih i prijavljenih novih projekata unutar Službe</w:t>
      </w:r>
    </w:p>
    <w:p w14:paraId="4EAC1848">
      <w:pPr>
        <w:numPr>
          <w:ilvl w:val="0"/>
          <w:numId w:val="60"/>
        </w:numPr>
      </w:pPr>
      <w:r>
        <w:t>broj izrađenih administrativnih izvješća za projekte u provedbi</w:t>
      </w:r>
    </w:p>
    <w:p w14:paraId="3B2C6A62">
      <w:pPr>
        <w:numPr>
          <w:ilvl w:val="0"/>
          <w:numId w:val="60"/>
        </w:numPr>
      </w:pPr>
      <w:r>
        <w:t xml:space="preserve">broj upita i odgovora na e-adresu </w:t>
      </w:r>
      <w:r>
        <w:rPr>
          <w:i/>
          <w:iCs/>
        </w:rPr>
        <w:t>info@stampar.hr</w:t>
      </w:r>
    </w:p>
    <w:p w14:paraId="31F9FE7B">
      <w:pPr>
        <w:numPr>
          <w:ilvl w:val="0"/>
          <w:numId w:val="60"/>
        </w:numPr>
      </w:pPr>
      <w:r>
        <w:t xml:space="preserve">broj odgovora na novinarske upite </w:t>
      </w:r>
    </w:p>
    <w:p w14:paraId="5EA47618">
      <w:pPr>
        <w:numPr>
          <w:ilvl w:val="0"/>
          <w:numId w:val="60"/>
        </w:numPr>
      </w:pPr>
      <w:r>
        <w:t>broj objava u medijima</w:t>
      </w:r>
    </w:p>
    <w:p w14:paraId="66536682">
      <w:pPr>
        <w:numPr>
          <w:ilvl w:val="0"/>
          <w:numId w:val="60"/>
        </w:numPr>
      </w:pPr>
      <w:r>
        <w:t>broj objava na društvenim mrežama</w:t>
      </w:r>
    </w:p>
    <w:p w14:paraId="289089BB">
      <w:pPr>
        <w:numPr>
          <w:ilvl w:val="0"/>
          <w:numId w:val="60"/>
        </w:numPr>
      </w:pPr>
      <w:r>
        <w:t xml:space="preserve">broj grafički oblikovanih publikacija, postera/plakata, brošura, letaka i slično (prijelom, grafička priprema, jezična i stilska korektura) </w:t>
      </w:r>
    </w:p>
    <w:p w14:paraId="4C00921D">
      <w:pPr>
        <w:numPr>
          <w:ilvl w:val="0"/>
          <w:numId w:val="60"/>
        </w:numPr>
      </w:pPr>
      <w:r>
        <w:t>broj sudjelovanja na znanstvenim i stručnim skupovima</w:t>
      </w:r>
    </w:p>
    <w:p w14:paraId="4CF251CE">
      <w:pPr>
        <w:numPr>
          <w:ilvl w:val="0"/>
          <w:numId w:val="60"/>
        </w:numPr>
      </w:pPr>
      <w:r>
        <w:t>broj objavljenih znanstvenih i stručnih članaka</w:t>
      </w:r>
    </w:p>
    <w:p w14:paraId="07391B90">
      <w:pPr>
        <w:numPr>
          <w:ilvl w:val="0"/>
          <w:numId w:val="60"/>
        </w:numPr>
      </w:pPr>
      <w:r>
        <w:t>broj konzultacija za potrebe znanstveno-istraživačkog rada zaposlenika Zavoda</w:t>
      </w:r>
    </w:p>
    <w:p w14:paraId="34E320FB">
      <w:pPr>
        <w:numPr>
          <w:ilvl w:val="0"/>
          <w:numId w:val="60"/>
        </w:numPr>
      </w:pPr>
      <w:r>
        <w:t xml:space="preserve">broj ostvarenih znanstveno-istraživačkih suradnji s relevantnim institucijama </w:t>
      </w:r>
    </w:p>
    <w:p w14:paraId="08750378">
      <w:pPr>
        <w:numPr>
          <w:ilvl w:val="0"/>
          <w:numId w:val="60"/>
        </w:numPr>
      </w:pPr>
      <w:r>
        <w:t xml:space="preserve">pripremljen i podnesen zahtjev za obnovu naziva </w:t>
      </w:r>
      <w:r>
        <w:rPr>
          <w:i/>
          <w:iCs/>
        </w:rPr>
        <w:t>Referentnog centra za farmakoepidemiologiju</w:t>
      </w:r>
      <w:r>
        <w:t xml:space="preserve"> </w:t>
      </w:r>
    </w:p>
    <w:p w14:paraId="6CDA2D34">
      <w:pPr>
        <w:numPr>
          <w:ilvl w:val="0"/>
          <w:numId w:val="60"/>
        </w:numPr>
      </w:pPr>
      <w:r>
        <w:t>broj provedenih farmakoepidemioloških studija</w:t>
      </w:r>
    </w:p>
    <w:p w14:paraId="119B1521">
      <w:pPr>
        <w:numPr>
          <w:ilvl w:val="0"/>
          <w:numId w:val="60"/>
        </w:numPr>
      </w:pPr>
      <w:r>
        <w:t>broj održanih farmakoepidemioloških tribina.</w:t>
      </w:r>
    </w:p>
    <w:p w14:paraId="0CA77DED">
      <w:r>
        <w:br w:type="page"/>
      </w:r>
    </w:p>
    <w:p w14:paraId="0F8CC31C"/>
    <w:p w14:paraId="748B027C">
      <w:pPr>
        <w:pStyle w:val="2"/>
      </w:pPr>
      <w:bookmarkStart w:id="41" w:name="_Toc147987332"/>
      <w:bookmarkStart w:id="42" w:name="_Toc84862519"/>
      <w:bookmarkStart w:id="43" w:name="_Toc184821168"/>
      <w:r>
        <w:t xml:space="preserve">10. </w:t>
      </w:r>
      <w:bookmarkEnd w:id="41"/>
      <w:bookmarkEnd w:id="42"/>
      <w:r>
        <w:t>Broj i struktura zaposlenika</w:t>
      </w:r>
      <w:bookmarkEnd w:id="43"/>
    </w:p>
    <w:p w14:paraId="1232177D"/>
    <w:p w14:paraId="723F5DC5">
      <w:r>
        <w:t>Nastavni zavod je na dan 30. studenoga 2024. godine brojio 419 zaposlenika/ca zaposlenih na neodređeno i određeno vrijeme (dana 31. prosinca 2023. godine – 432 zaposlenika/ca) (Tablica 10.1.).</w:t>
      </w:r>
    </w:p>
    <w:p w14:paraId="03FD3F56"/>
    <w:p w14:paraId="257387F5">
      <w:pPr>
        <w:rPr>
          <w:i/>
          <w:iCs/>
        </w:rPr>
      </w:pPr>
      <w:r>
        <w:rPr>
          <w:i/>
          <w:iCs/>
        </w:rPr>
        <w:t>Tablica 10.1. – Usporedba broja zaposlenika na neodređeno i određeno vrijeme na dan 30. studeni 2024. godine i 31. prosinca 2023.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1610"/>
        <w:gridCol w:w="1610"/>
        <w:gridCol w:w="1612"/>
      </w:tblGrid>
      <w:tr w14:paraId="059C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2972" w:type="dxa"/>
            <w:tcBorders>
              <w:bottom w:val="double" w:color="auto" w:sz="4" w:space="0"/>
            </w:tcBorders>
            <w:noWrap/>
            <w:tcMar>
              <w:top w:w="0" w:type="dxa"/>
              <w:left w:w="108" w:type="dxa"/>
              <w:bottom w:w="0" w:type="dxa"/>
              <w:right w:w="108" w:type="dxa"/>
            </w:tcMar>
            <w:vAlign w:val="center"/>
          </w:tcPr>
          <w:p w14:paraId="5C3380F1">
            <w:pPr>
              <w:pStyle w:val="150"/>
              <w:jc w:val="left"/>
              <w:rPr>
                <w:i/>
                <w:iCs w:val="0"/>
                <w:sz w:val="24"/>
                <w:szCs w:val="24"/>
              </w:rPr>
            </w:pPr>
            <w:r>
              <w:rPr>
                <w:i/>
                <w:iCs w:val="0"/>
                <w:sz w:val="24"/>
                <w:szCs w:val="24"/>
              </w:rPr>
              <w:t>Vrsta radnoga odnosa</w:t>
            </w:r>
          </w:p>
        </w:tc>
        <w:tc>
          <w:tcPr>
            <w:tcW w:w="1610" w:type="dxa"/>
            <w:tcBorders>
              <w:bottom w:val="double" w:color="auto" w:sz="4" w:space="0"/>
            </w:tcBorders>
            <w:vAlign w:val="center"/>
          </w:tcPr>
          <w:p w14:paraId="3EE68D92">
            <w:pPr>
              <w:pStyle w:val="150"/>
              <w:jc w:val="center"/>
              <w:rPr>
                <w:i/>
                <w:iCs w:val="0"/>
                <w:sz w:val="24"/>
                <w:szCs w:val="24"/>
              </w:rPr>
            </w:pPr>
            <w:r>
              <w:rPr>
                <w:i/>
                <w:iCs w:val="0"/>
                <w:sz w:val="24"/>
                <w:szCs w:val="24"/>
              </w:rPr>
              <w:t>2024.</w:t>
            </w:r>
          </w:p>
        </w:tc>
        <w:tc>
          <w:tcPr>
            <w:tcW w:w="1610" w:type="dxa"/>
            <w:tcBorders>
              <w:bottom w:val="double" w:color="auto" w:sz="4" w:space="0"/>
            </w:tcBorders>
            <w:vAlign w:val="center"/>
          </w:tcPr>
          <w:p w14:paraId="2DD1E2B9">
            <w:pPr>
              <w:pStyle w:val="150"/>
              <w:jc w:val="center"/>
              <w:rPr>
                <w:i/>
                <w:iCs w:val="0"/>
                <w:sz w:val="24"/>
                <w:szCs w:val="24"/>
              </w:rPr>
            </w:pPr>
            <w:r>
              <w:rPr>
                <w:i/>
                <w:iCs w:val="0"/>
                <w:sz w:val="24"/>
                <w:szCs w:val="24"/>
              </w:rPr>
              <w:t>2023.</w:t>
            </w:r>
          </w:p>
        </w:tc>
        <w:tc>
          <w:tcPr>
            <w:tcW w:w="1612" w:type="dxa"/>
            <w:tcBorders>
              <w:bottom w:val="double" w:color="auto" w:sz="4" w:space="0"/>
            </w:tcBorders>
            <w:noWrap/>
            <w:tcMar>
              <w:top w:w="0" w:type="dxa"/>
              <w:left w:w="108" w:type="dxa"/>
              <w:bottom w:w="0" w:type="dxa"/>
              <w:right w:w="108" w:type="dxa"/>
            </w:tcMar>
            <w:vAlign w:val="center"/>
          </w:tcPr>
          <w:p w14:paraId="67F38E06">
            <w:pPr>
              <w:pStyle w:val="150"/>
              <w:jc w:val="center"/>
              <w:rPr>
                <w:i/>
                <w:iCs w:val="0"/>
                <w:sz w:val="24"/>
                <w:szCs w:val="24"/>
              </w:rPr>
            </w:pPr>
            <w:r>
              <w:rPr>
                <w:i/>
                <w:iCs w:val="0"/>
                <w:sz w:val="24"/>
                <w:szCs w:val="24"/>
              </w:rPr>
              <w:t>Razlika</w:t>
            </w:r>
          </w:p>
        </w:tc>
      </w:tr>
      <w:tr w14:paraId="3AE5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2972" w:type="dxa"/>
            <w:tcBorders>
              <w:top w:val="double" w:color="auto" w:sz="4" w:space="0"/>
            </w:tcBorders>
            <w:noWrap/>
            <w:tcMar>
              <w:top w:w="0" w:type="dxa"/>
              <w:left w:w="108" w:type="dxa"/>
              <w:bottom w:w="0" w:type="dxa"/>
              <w:right w:w="108" w:type="dxa"/>
            </w:tcMar>
            <w:vAlign w:val="center"/>
          </w:tcPr>
          <w:p w14:paraId="5CFE088F">
            <w:pPr>
              <w:pStyle w:val="150"/>
              <w:jc w:val="left"/>
              <w:rPr>
                <w:sz w:val="24"/>
                <w:szCs w:val="24"/>
              </w:rPr>
            </w:pPr>
            <w:r>
              <w:rPr>
                <w:sz w:val="24"/>
                <w:szCs w:val="24"/>
              </w:rPr>
              <w:t>Na neodređeno vrijeme</w:t>
            </w:r>
          </w:p>
        </w:tc>
        <w:tc>
          <w:tcPr>
            <w:tcW w:w="1610" w:type="dxa"/>
            <w:tcBorders>
              <w:top w:val="double" w:color="auto" w:sz="4" w:space="0"/>
            </w:tcBorders>
            <w:vAlign w:val="center"/>
          </w:tcPr>
          <w:p w14:paraId="189B48E4">
            <w:pPr>
              <w:pStyle w:val="150"/>
              <w:jc w:val="center"/>
              <w:rPr>
                <w:sz w:val="24"/>
                <w:szCs w:val="24"/>
              </w:rPr>
            </w:pPr>
            <w:r>
              <w:rPr>
                <w:sz w:val="24"/>
                <w:szCs w:val="24"/>
              </w:rPr>
              <w:t>380</w:t>
            </w:r>
          </w:p>
        </w:tc>
        <w:tc>
          <w:tcPr>
            <w:tcW w:w="1610" w:type="dxa"/>
            <w:tcBorders>
              <w:top w:val="double" w:color="auto" w:sz="4" w:space="0"/>
            </w:tcBorders>
            <w:vAlign w:val="center"/>
          </w:tcPr>
          <w:p w14:paraId="18481EBC">
            <w:pPr>
              <w:pStyle w:val="150"/>
              <w:jc w:val="center"/>
              <w:rPr>
                <w:sz w:val="24"/>
                <w:szCs w:val="24"/>
              </w:rPr>
            </w:pPr>
            <w:r>
              <w:rPr>
                <w:sz w:val="24"/>
                <w:szCs w:val="24"/>
              </w:rPr>
              <w:t>386</w:t>
            </w:r>
          </w:p>
        </w:tc>
        <w:tc>
          <w:tcPr>
            <w:tcW w:w="1612" w:type="dxa"/>
            <w:tcBorders>
              <w:top w:val="double" w:color="auto" w:sz="4" w:space="0"/>
            </w:tcBorders>
            <w:noWrap/>
            <w:tcMar>
              <w:top w:w="0" w:type="dxa"/>
              <w:left w:w="108" w:type="dxa"/>
              <w:bottom w:w="0" w:type="dxa"/>
              <w:right w:w="108" w:type="dxa"/>
            </w:tcMar>
            <w:vAlign w:val="center"/>
          </w:tcPr>
          <w:p w14:paraId="21CFC5DA">
            <w:pPr>
              <w:pStyle w:val="150"/>
              <w:jc w:val="center"/>
              <w:rPr>
                <w:sz w:val="24"/>
                <w:szCs w:val="24"/>
              </w:rPr>
            </w:pPr>
            <w:r>
              <w:rPr>
                <w:sz w:val="24"/>
                <w:szCs w:val="24"/>
              </w:rPr>
              <w:t>-6</w:t>
            </w:r>
          </w:p>
        </w:tc>
      </w:tr>
      <w:tr w14:paraId="4CC0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2972" w:type="dxa"/>
            <w:tcBorders>
              <w:bottom w:val="double" w:color="auto" w:sz="4" w:space="0"/>
            </w:tcBorders>
            <w:noWrap/>
            <w:tcMar>
              <w:top w:w="0" w:type="dxa"/>
              <w:left w:w="108" w:type="dxa"/>
              <w:bottom w:w="0" w:type="dxa"/>
              <w:right w:w="108" w:type="dxa"/>
            </w:tcMar>
            <w:vAlign w:val="center"/>
          </w:tcPr>
          <w:p w14:paraId="21FA6D3A">
            <w:pPr>
              <w:pStyle w:val="150"/>
              <w:jc w:val="left"/>
              <w:rPr>
                <w:sz w:val="24"/>
                <w:szCs w:val="24"/>
              </w:rPr>
            </w:pPr>
            <w:r>
              <w:rPr>
                <w:sz w:val="24"/>
                <w:szCs w:val="24"/>
              </w:rPr>
              <w:t>Na određeno vrijeme</w:t>
            </w:r>
          </w:p>
        </w:tc>
        <w:tc>
          <w:tcPr>
            <w:tcW w:w="1610" w:type="dxa"/>
            <w:tcBorders>
              <w:bottom w:val="double" w:color="auto" w:sz="4" w:space="0"/>
            </w:tcBorders>
            <w:vAlign w:val="center"/>
          </w:tcPr>
          <w:p w14:paraId="1F3D18AC">
            <w:pPr>
              <w:pStyle w:val="150"/>
              <w:jc w:val="center"/>
              <w:rPr>
                <w:sz w:val="24"/>
                <w:szCs w:val="24"/>
              </w:rPr>
            </w:pPr>
            <w:r>
              <w:rPr>
                <w:sz w:val="24"/>
                <w:szCs w:val="24"/>
              </w:rPr>
              <w:t>39</w:t>
            </w:r>
          </w:p>
        </w:tc>
        <w:tc>
          <w:tcPr>
            <w:tcW w:w="1610" w:type="dxa"/>
            <w:tcBorders>
              <w:bottom w:val="double" w:color="auto" w:sz="4" w:space="0"/>
            </w:tcBorders>
            <w:vAlign w:val="center"/>
          </w:tcPr>
          <w:p w14:paraId="05E846B8">
            <w:pPr>
              <w:pStyle w:val="150"/>
              <w:jc w:val="center"/>
              <w:rPr>
                <w:sz w:val="24"/>
                <w:szCs w:val="24"/>
              </w:rPr>
            </w:pPr>
            <w:r>
              <w:rPr>
                <w:sz w:val="24"/>
                <w:szCs w:val="24"/>
              </w:rPr>
              <w:t>46</w:t>
            </w:r>
          </w:p>
        </w:tc>
        <w:tc>
          <w:tcPr>
            <w:tcW w:w="1612" w:type="dxa"/>
            <w:tcBorders>
              <w:bottom w:val="double" w:color="auto" w:sz="4" w:space="0"/>
            </w:tcBorders>
            <w:noWrap/>
            <w:tcMar>
              <w:top w:w="0" w:type="dxa"/>
              <w:left w:w="108" w:type="dxa"/>
              <w:bottom w:w="0" w:type="dxa"/>
              <w:right w:w="108" w:type="dxa"/>
            </w:tcMar>
            <w:vAlign w:val="center"/>
          </w:tcPr>
          <w:p w14:paraId="3AEDB837">
            <w:pPr>
              <w:pStyle w:val="150"/>
              <w:jc w:val="center"/>
              <w:rPr>
                <w:sz w:val="24"/>
                <w:szCs w:val="24"/>
              </w:rPr>
            </w:pPr>
            <w:r>
              <w:rPr>
                <w:sz w:val="24"/>
                <w:szCs w:val="24"/>
              </w:rPr>
              <w:t>-13</w:t>
            </w:r>
          </w:p>
        </w:tc>
      </w:tr>
      <w:tr w14:paraId="165D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2972" w:type="dxa"/>
            <w:tcBorders>
              <w:top w:val="double" w:color="auto" w:sz="4" w:space="0"/>
            </w:tcBorders>
            <w:noWrap/>
            <w:tcMar>
              <w:top w:w="0" w:type="dxa"/>
              <w:left w:w="108" w:type="dxa"/>
              <w:bottom w:w="0" w:type="dxa"/>
              <w:right w:w="108" w:type="dxa"/>
            </w:tcMar>
            <w:vAlign w:val="center"/>
          </w:tcPr>
          <w:p w14:paraId="22132D93">
            <w:pPr>
              <w:pStyle w:val="150"/>
              <w:jc w:val="left"/>
              <w:rPr>
                <w:i/>
                <w:iCs w:val="0"/>
                <w:sz w:val="24"/>
                <w:szCs w:val="24"/>
              </w:rPr>
            </w:pPr>
            <w:r>
              <w:rPr>
                <w:i/>
                <w:iCs w:val="0"/>
                <w:sz w:val="24"/>
                <w:szCs w:val="24"/>
              </w:rPr>
              <w:t>Ukupno</w:t>
            </w:r>
          </w:p>
        </w:tc>
        <w:tc>
          <w:tcPr>
            <w:tcW w:w="1610" w:type="dxa"/>
            <w:tcBorders>
              <w:top w:val="double" w:color="auto" w:sz="4" w:space="0"/>
            </w:tcBorders>
            <w:vAlign w:val="center"/>
          </w:tcPr>
          <w:p w14:paraId="54C81BBF">
            <w:pPr>
              <w:pStyle w:val="150"/>
              <w:jc w:val="center"/>
              <w:rPr>
                <w:sz w:val="24"/>
                <w:szCs w:val="24"/>
              </w:rPr>
            </w:pPr>
            <w:r>
              <w:rPr>
                <w:sz w:val="24"/>
                <w:szCs w:val="24"/>
              </w:rPr>
              <w:t>419</w:t>
            </w:r>
          </w:p>
        </w:tc>
        <w:tc>
          <w:tcPr>
            <w:tcW w:w="1610" w:type="dxa"/>
            <w:tcBorders>
              <w:top w:val="double" w:color="auto" w:sz="4" w:space="0"/>
            </w:tcBorders>
            <w:vAlign w:val="center"/>
          </w:tcPr>
          <w:p w14:paraId="1BDD42D5">
            <w:pPr>
              <w:pStyle w:val="150"/>
              <w:jc w:val="center"/>
              <w:rPr>
                <w:sz w:val="24"/>
                <w:szCs w:val="24"/>
              </w:rPr>
            </w:pPr>
            <w:r>
              <w:rPr>
                <w:sz w:val="24"/>
                <w:szCs w:val="24"/>
              </w:rPr>
              <w:t>432</w:t>
            </w:r>
          </w:p>
        </w:tc>
        <w:tc>
          <w:tcPr>
            <w:tcW w:w="1612" w:type="dxa"/>
            <w:tcBorders>
              <w:top w:val="double" w:color="auto" w:sz="4" w:space="0"/>
            </w:tcBorders>
            <w:noWrap/>
            <w:tcMar>
              <w:top w:w="0" w:type="dxa"/>
              <w:left w:w="108" w:type="dxa"/>
              <w:bottom w:w="0" w:type="dxa"/>
              <w:right w:w="108" w:type="dxa"/>
            </w:tcMar>
            <w:vAlign w:val="center"/>
          </w:tcPr>
          <w:p w14:paraId="1259B40F">
            <w:pPr>
              <w:pStyle w:val="150"/>
              <w:jc w:val="center"/>
              <w:rPr>
                <w:sz w:val="24"/>
                <w:szCs w:val="24"/>
              </w:rPr>
            </w:pPr>
            <w:r>
              <w:rPr>
                <w:sz w:val="24"/>
                <w:szCs w:val="24"/>
              </w:rPr>
              <w:t>-19</w:t>
            </w:r>
          </w:p>
        </w:tc>
      </w:tr>
    </w:tbl>
    <w:p w14:paraId="14446623"/>
    <w:p w14:paraId="1F0F097C">
      <w:r>
        <w:t>Brojevi zaposlenika/ca sljedećih grafikona i tablica uključuju zaposlene i na neodređeno i određeno vrijeme.</w:t>
      </w:r>
    </w:p>
    <w:p w14:paraId="1EEB9970"/>
    <w:p w14:paraId="4F6A2ACA">
      <w:r>
        <w:t>U Zavodu bilo je zaposleno 333 zaposlenica (Ž) i 86 zaposlenika (M) (Grafikon 10.1.):</w:t>
      </w:r>
    </w:p>
    <w:p w14:paraId="6C45E63E"/>
    <w:p w14:paraId="7694646B">
      <w:pPr>
        <w:rPr>
          <w:i/>
          <w:iCs/>
        </w:rPr>
      </w:pPr>
      <w:r>
        <w:rPr>
          <w:i/>
          <w:iCs/>
        </w:rPr>
        <w:t>Grafikon 10.1. – Spolna struktura zaposlenika/ca</w:t>
      </w:r>
    </w:p>
    <w:p w14:paraId="1DD5E566">
      <w:r>
        <w:drawing>
          <wp:inline distT="0" distB="0" distL="0" distR="0">
            <wp:extent cx="3924300" cy="2419985"/>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A3AA7F">
      <w:r>
        <w:br w:type="page"/>
      </w:r>
    </w:p>
    <w:p w14:paraId="63EAA472">
      <w:r>
        <w:t>Najviše zaposlenika/ca bilo je u dobnim skupinama od 40 do 49 (131 zaposlenika/ca) i od 50 do 59 godina (108 zaposlenika/ca) (Grafikon 10.2.):</w:t>
      </w:r>
    </w:p>
    <w:p w14:paraId="3BB39084"/>
    <w:p w14:paraId="72BBEF64">
      <w:pPr>
        <w:rPr>
          <w:i/>
          <w:iCs/>
        </w:rPr>
      </w:pPr>
      <w:r>
        <w:rPr>
          <w:i/>
          <w:iCs/>
        </w:rPr>
        <w:t>Grafikon 10.2. – Struktura zaposlenika/ca prema spolu i dobi</w:t>
      </w:r>
    </w:p>
    <w:p w14:paraId="5040E053">
      <w:r>
        <w:drawing>
          <wp:inline distT="0" distB="0" distL="0" distR="0">
            <wp:extent cx="5760720" cy="2577465"/>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6023B3"/>
    <w:p w14:paraId="1468DD4D">
      <w:r>
        <w:t>Održala se struktura zaposlenika/ca prema stručnoj spremi prethodnih godina; u njoj je najveći udio onaj sa zaposlenicima/cama koji imaju visoku stručnu spremu (VSS), što je vidljivo na Grafikonu 10.3.</w:t>
      </w:r>
    </w:p>
    <w:p w14:paraId="15FE83C1"/>
    <w:p w14:paraId="6011401A">
      <w:pPr>
        <w:rPr>
          <w:i/>
          <w:iCs/>
        </w:rPr>
      </w:pPr>
      <w:r>
        <w:rPr>
          <w:i/>
          <w:iCs/>
        </w:rPr>
        <w:t>Grafikon 10.3. – Struktura zaposlenika/ca prema stručnoj spremi</w:t>
      </w:r>
    </w:p>
    <w:p w14:paraId="3BBCA901">
      <w:r>
        <w:drawing>
          <wp:inline distT="0" distB="0" distL="0" distR="0">
            <wp:extent cx="5760720" cy="3203575"/>
            <wp:effectExtent l="0" t="0" r="0" b="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br w:type="page"/>
      </w:r>
    </w:p>
    <w:p w14:paraId="6C680B11">
      <w:r>
        <w:t>Zavod je brojio 210 zaposlenika/ca s visokom stručnom spremom (VSS), a od toga 42 doktora/ica znanosti i osam magistara/i znanosti (Grafikon 10.4.).</w:t>
      </w:r>
    </w:p>
    <w:p w14:paraId="6E7D8216"/>
    <w:p w14:paraId="5FF46A05">
      <w:pPr>
        <w:rPr>
          <w:i/>
          <w:iCs/>
        </w:rPr>
      </w:pPr>
      <w:r>
        <w:rPr>
          <w:i/>
          <w:iCs/>
        </w:rPr>
        <w:t>Grafikon 10.4. – Struktura zaposlenika/ca s visokom stručnom spremom</w:t>
      </w:r>
    </w:p>
    <w:p w14:paraId="5D51E56B">
      <w:r>
        <w:drawing>
          <wp:inline distT="0" distB="0" distL="0" distR="0">
            <wp:extent cx="4873625" cy="2393315"/>
            <wp:effectExtent l="0" t="0" r="3175" b="6985"/>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EE9435"/>
    <w:p w14:paraId="1D4F158B">
      <w:r>
        <w:t>Tablica 10.2. prikazuje broj zaposlenika/ca na neodređeno i određeno vrijeme prema stručnoj spremi u pojedinim službama na dan 30. 11. 2024. godine. Reci službi i stupci označavaju broj zaposlenika/ca:</w:t>
      </w:r>
    </w:p>
    <w:p w14:paraId="7DFA3A0D"/>
    <w:p w14:paraId="03920CA6">
      <w:pPr>
        <w:rPr>
          <w:i/>
          <w:iCs/>
        </w:rPr>
      </w:pPr>
      <w:r>
        <w:rPr>
          <w:i/>
          <w:iCs/>
        </w:rPr>
        <w:t>Tablica 10.2. – Broj zaposlenika/ca prema službama i stručnoj spremi</w:t>
      </w:r>
    </w:p>
    <w:tbl>
      <w:tblPr>
        <w:tblStyle w:val="34"/>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779"/>
        <w:gridCol w:w="780"/>
        <w:gridCol w:w="780"/>
        <w:gridCol w:w="779"/>
        <w:gridCol w:w="780"/>
        <w:gridCol w:w="780"/>
        <w:gridCol w:w="806"/>
      </w:tblGrid>
      <w:tr w14:paraId="6D2B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964" w:type="dxa"/>
            <w:tcBorders>
              <w:bottom w:val="double" w:color="auto" w:sz="4" w:space="0"/>
            </w:tcBorders>
            <w:noWrap/>
            <w:vAlign w:val="center"/>
          </w:tcPr>
          <w:p w14:paraId="56BC180C">
            <w:pPr>
              <w:pStyle w:val="150"/>
              <w:jc w:val="left"/>
              <w:rPr>
                <w:i/>
                <w:iCs w:val="0"/>
                <w:sz w:val="18"/>
                <w:szCs w:val="18"/>
              </w:rPr>
            </w:pPr>
            <w:r>
              <w:rPr>
                <w:i/>
                <w:iCs w:val="0"/>
                <w:sz w:val="18"/>
                <w:szCs w:val="18"/>
              </w:rPr>
              <w:t>Organizacijska jedinica</w:t>
            </w:r>
          </w:p>
        </w:tc>
        <w:tc>
          <w:tcPr>
            <w:tcW w:w="779" w:type="dxa"/>
            <w:tcBorders>
              <w:bottom w:val="double" w:color="auto" w:sz="4" w:space="0"/>
            </w:tcBorders>
            <w:noWrap/>
            <w:vAlign w:val="center"/>
          </w:tcPr>
          <w:p w14:paraId="08F37B33">
            <w:pPr>
              <w:pStyle w:val="150"/>
              <w:rPr>
                <w:i/>
                <w:iCs w:val="0"/>
                <w:sz w:val="18"/>
                <w:szCs w:val="18"/>
              </w:rPr>
            </w:pPr>
            <w:r>
              <w:rPr>
                <w:i/>
                <w:iCs w:val="0"/>
                <w:sz w:val="18"/>
                <w:szCs w:val="18"/>
              </w:rPr>
              <w:t>KV</w:t>
            </w:r>
          </w:p>
        </w:tc>
        <w:tc>
          <w:tcPr>
            <w:tcW w:w="780" w:type="dxa"/>
            <w:tcBorders>
              <w:bottom w:val="double" w:color="auto" w:sz="4" w:space="0"/>
            </w:tcBorders>
            <w:noWrap/>
            <w:vAlign w:val="center"/>
          </w:tcPr>
          <w:p w14:paraId="7FCA0A26">
            <w:pPr>
              <w:pStyle w:val="150"/>
              <w:rPr>
                <w:i/>
                <w:iCs w:val="0"/>
                <w:sz w:val="18"/>
                <w:szCs w:val="18"/>
              </w:rPr>
            </w:pPr>
            <w:r>
              <w:rPr>
                <w:i/>
                <w:iCs w:val="0"/>
                <w:sz w:val="18"/>
                <w:szCs w:val="18"/>
              </w:rPr>
              <w:t>NKV</w:t>
            </w:r>
          </w:p>
        </w:tc>
        <w:tc>
          <w:tcPr>
            <w:tcW w:w="780" w:type="dxa"/>
            <w:tcBorders>
              <w:bottom w:val="double" w:color="auto" w:sz="4" w:space="0"/>
            </w:tcBorders>
            <w:noWrap/>
            <w:vAlign w:val="center"/>
          </w:tcPr>
          <w:p w14:paraId="04F43D9B">
            <w:pPr>
              <w:pStyle w:val="150"/>
              <w:rPr>
                <w:i/>
                <w:iCs w:val="0"/>
                <w:sz w:val="18"/>
                <w:szCs w:val="18"/>
              </w:rPr>
            </w:pPr>
            <w:r>
              <w:rPr>
                <w:i/>
                <w:iCs w:val="0"/>
                <w:sz w:val="18"/>
                <w:szCs w:val="18"/>
              </w:rPr>
              <w:t>NSS</w:t>
            </w:r>
          </w:p>
        </w:tc>
        <w:tc>
          <w:tcPr>
            <w:tcW w:w="779" w:type="dxa"/>
            <w:tcBorders>
              <w:bottom w:val="double" w:color="auto" w:sz="4" w:space="0"/>
            </w:tcBorders>
            <w:noWrap/>
            <w:vAlign w:val="center"/>
          </w:tcPr>
          <w:p w14:paraId="28EC2912">
            <w:pPr>
              <w:pStyle w:val="150"/>
              <w:rPr>
                <w:i/>
                <w:iCs w:val="0"/>
                <w:sz w:val="18"/>
                <w:szCs w:val="18"/>
              </w:rPr>
            </w:pPr>
            <w:r>
              <w:rPr>
                <w:i/>
                <w:iCs w:val="0"/>
                <w:sz w:val="18"/>
                <w:szCs w:val="18"/>
              </w:rPr>
              <w:t>SSS</w:t>
            </w:r>
          </w:p>
        </w:tc>
        <w:tc>
          <w:tcPr>
            <w:tcW w:w="780" w:type="dxa"/>
            <w:tcBorders>
              <w:bottom w:val="double" w:color="auto" w:sz="4" w:space="0"/>
            </w:tcBorders>
            <w:noWrap/>
            <w:vAlign w:val="center"/>
          </w:tcPr>
          <w:p w14:paraId="06F04F24">
            <w:pPr>
              <w:pStyle w:val="150"/>
              <w:rPr>
                <w:i/>
                <w:iCs w:val="0"/>
                <w:sz w:val="18"/>
                <w:szCs w:val="18"/>
              </w:rPr>
            </w:pPr>
            <w:r>
              <w:rPr>
                <w:i/>
                <w:iCs w:val="0"/>
                <w:sz w:val="18"/>
                <w:szCs w:val="18"/>
              </w:rPr>
              <w:t>VŠS</w:t>
            </w:r>
          </w:p>
        </w:tc>
        <w:tc>
          <w:tcPr>
            <w:tcW w:w="780" w:type="dxa"/>
            <w:tcBorders>
              <w:bottom w:val="double" w:color="auto" w:sz="4" w:space="0"/>
            </w:tcBorders>
            <w:vAlign w:val="center"/>
          </w:tcPr>
          <w:p w14:paraId="4C18C303">
            <w:pPr>
              <w:pStyle w:val="150"/>
              <w:rPr>
                <w:i/>
                <w:iCs w:val="0"/>
                <w:sz w:val="18"/>
                <w:szCs w:val="18"/>
              </w:rPr>
            </w:pPr>
            <w:r>
              <w:rPr>
                <w:i/>
                <w:iCs w:val="0"/>
                <w:sz w:val="18"/>
                <w:szCs w:val="18"/>
              </w:rPr>
              <w:t>VSS</w:t>
            </w:r>
          </w:p>
        </w:tc>
        <w:tc>
          <w:tcPr>
            <w:tcW w:w="806" w:type="dxa"/>
            <w:tcBorders>
              <w:bottom w:val="double" w:color="auto" w:sz="4" w:space="0"/>
            </w:tcBorders>
            <w:noWrap/>
            <w:vAlign w:val="center"/>
          </w:tcPr>
          <w:p w14:paraId="6CFE2700">
            <w:pPr>
              <w:pStyle w:val="150"/>
              <w:rPr>
                <w:i/>
                <w:iCs w:val="0"/>
                <w:sz w:val="18"/>
                <w:szCs w:val="18"/>
              </w:rPr>
            </w:pPr>
            <w:r>
              <w:rPr>
                <w:i/>
                <w:iCs w:val="0"/>
                <w:sz w:val="18"/>
                <w:szCs w:val="18"/>
              </w:rPr>
              <w:t>Ukupno</w:t>
            </w:r>
          </w:p>
        </w:tc>
      </w:tr>
      <w:tr w14:paraId="6EF0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tcBorders>
              <w:top w:val="double" w:color="auto" w:sz="4" w:space="0"/>
            </w:tcBorders>
            <w:noWrap/>
            <w:vAlign w:val="center"/>
          </w:tcPr>
          <w:p w14:paraId="27BE6E56">
            <w:pPr>
              <w:pStyle w:val="150"/>
              <w:jc w:val="left"/>
              <w:rPr>
                <w:sz w:val="18"/>
                <w:szCs w:val="18"/>
              </w:rPr>
            </w:pPr>
            <w:r>
              <w:rPr>
                <w:sz w:val="18"/>
                <w:szCs w:val="18"/>
              </w:rPr>
              <w:t>Ravnateljstvo</w:t>
            </w:r>
          </w:p>
        </w:tc>
        <w:tc>
          <w:tcPr>
            <w:tcW w:w="779" w:type="dxa"/>
            <w:tcBorders>
              <w:top w:val="double" w:color="auto" w:sz="4" w:space="0"/>
            </w:tcBorders>
            <w:noWrap/>
            <w:vAlign w:val="center"/>
          </w:tcPr>
          <w:p w14:paraId="4F9B9782">
            <w:pPr>
              <w:pStyle w:val="150"/>
              <w:rPr>
                <w:sz w:val="18"/>
                <w:szCs w:val="18"/>
              </w:rPr>
            </w:pPr>
          </w:p>
        </w:tc>
        <w:tc>
          <w:tcPr>
            <w:tcW w:w="780" w:type="dxa"/>
            <w:tcBorders>
              <w:top w:val="double" w:color="auto" w:sz="4" w:space="0"/>
            </w:tcBorders>
            <w:noWrap/>
            <w:vAlign w:val="center"/>
          </w:tcPr>
          <w:p w14:paraId="1F102DE5">
            <w:pPr>
              <w:pStyle w:val="150"/>
              <w:rPr>
                <w:sz w:val="18"/>
                <w:szCs w:val="18"/>
              </w:rPr>
            </w:pPr>
          </w:p>
        </w:tc>
        <w:tc>
          <w:tcPr>
            <w:tcW w:w="780" w:type="dxa"/>
            <w:tcBorders>
              <w:top w:val="double" w:color="auto" w:sz="4" w:space="0"/>
            </w:tcBorders>
            <w:noWrap/>
            <w:vAlign w:val="center"/>
          </w:tcPr>
          <w:p w14:paraId="4ABD7199">
            <w:pPr>
              <w:pStyle w:val="150"/>
              <w:rPr>
                <w:sz w:val="18"/>
                <w:szCs w:val="18"/>
              </w:rPr>
            </w:pPr>
          </w:p>
        </w:tc>
        <w:tc>
          <w:tcPr>
            <w:tcW w:w="779" w:type="dxa"/>
            <w:tcBorders>
              <w:top w:val="double" w:color="auto" w:sz="4" w:space="0"/>
            </w:tcBorders>
            <w:noWrap/>
            <w:vAlign w:val="center"/>
          </w:tcPr>
          <w:p w14:paraId="60BBD864">
            <w:pPr>
              <w:pStyle w:val="150"/>
              <w:rPr>
                <w:sz w:val="18"/>
                <w:szCs w:val="18"/>
              </w:rPr>
            </w:pPr>
            <w:r>
              <w:rPr>
                <w:sz w:val="18"/>
                <w:szCs w:val="18"/>
              </w:rPr>
              <w:t>1</w:t>
            </w:r>
          </w:p>
        </w:tc>
        <w:tc>
          <w:tcPr>
            <w:tcW w:w="780" w:type="dxa"/>
            <w:tcBorders>
              <w:top w:val="double" w:color="auto" w:sz="4" w:space="0"/>
            </w:tcBorders>
            <w:noWrap/>
            <w:vAlign w:val="center"/>
          </w:tcPr>
          <w:p w14:paraId="21695E0E">
            <w:pPr>
              <w:pStyle w:val="150"/>
              <w:rPr>
                <w:sz w:val="18"/>
                <w:szCs w:val="18"/>
              </w:rPr>
            </w:pPr>
          </w:p>
        </w:tc>
        <w:tc>
          <w:tcPr>
            <w:tcW w:w="780" w:type="dxa"/>
            <w:tcBorders>
              <w:top w:val="double" w:color="auto" w:sz="4" w:space="0"/>
            </w:tcBorders>
            <w:vAlign w:val="center"/>
          </w:tcPr>
          <w:p w14:paraId="6249FDE0">
            <w:pPr>
              <w:pStyle w:val="150"/>
              <w:rPr>
                <w:sz w:val="18"/>
                <w:szCs w:val="18"/>
              </w:rPr>
            </w:pPr>
            <w:r>
              <w:rPr>
                <w:sz w:val="18"/>
                <w:szCs w:val="18"/>
              </w:rPr>
              <w:t>5</w:t>
            </w:r>
          </w:p>
        </w:tc>
        <w:tc>
          <w:tcPr>
            <w:tcW w:w="806" w:type="dxa"/>
            <w:tcBorders>
              <w:top w:val="double" w:color="auto" w:sz="4" w:space="0"/>
            </w:tcBorders>
            <w:noWrap/>
            <w:vAlign w:val="center"/>
          </w:tcPr>
          <w:p w14:paraId="4B9D5C75">
            <w:pPr>
              <w:pStyle w:val="150"/>
              <w:rPr>
                <w:sz w:val="18"/>
                <w:szCs w:val="18"/>
              </w:rPr>
            </w:pPr>
            <w:r>
              <w:rPr>
                <w:sz w:val="18"/>
                <w:szCs w:val="18"/>
              </w:rPr>
              <w:t>6</w:t>
            </w:r>
          </w:p>
        </w:tc>
      </w:tr>
      <w:tr w14:paraId="2BE2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25D2C708">
            <w:pPr>
              <w:pStyle w:val="150"/>
              <w:jc w:val="left"/>
              <w:rPr>
                <w:sz w:val="18"/>
                <w:szCs w:val="18"/>
              </w:rPr>
            </w:pPr>
            <w:r>
              <w:rPr>
                <w:sz w:val="18"/>
                <w:szCs w:val="18"/>
              </w:rPr>
              <w:t>Služba za ekonomske poslove</w:t>
            </w:r>
          </w:p>
        </w:tc>
        <w:tc>
          <w:tcPr>
            <w:tcW w:w="779" w:type="dxa"/>
            <w:noWrap/>
            <w:vAlign w:val="center"/>
          </w:tcPr>
          <w:p w14:paraId="222A4F0E">
            <w:pPr>
              <w:pStyle w:val="150"/>
              <w:rPr>
                <w:sz w:val="18"/>
                <w:szCs w:val="18"/>
              </w:rPr>
            </w:pPr>
            <w:r>
              <w:rPr>
                <w:sz w:val="18"/>
                <w:szCs w:val="18"/>
              </w:rPr>
              <w:t>1</w:t>
            </w:r>
          </w:p>
        </w:tc>
        <w:tc>
          <w:tcPr>
            <w:tcW w:w="780" w:type="dxa"/>
            <w:noWrap/>
            <w:vAlign w:val="center"/>
          </w:tcPr>
          <w:p w14:paraId="4C279B0F">
            <w:pPr>
              <w:pStyle w:val="150"/>
              <w:rPr>
                <w:sz w:val="18"/>
                <w:szCs w:val="18"/>
              </w:rPr>
            </w:pPr>
          </w:p>
        </w:tc>
        <w:tc>
          <w:tcPr>
            <w:tcW w:w="780" w:type="dxa"/>
            <w:noWrap/>
            <w:vAlign w:val="center"/>
          </w:tcPr>
          <w:p w14:paraId="26747986">
            <w:pPr>
              <w:pStyle w:val="150"/>
              <w:rPr>
                <w:sz w:val="18"/>
                <w:szCs w:val="18"/>
              </w:rPr>
            </w:pPr>
          </w:p>
        </w:tc>
        <w:tc>
          <w:tcPr>
            <w:tcW w:w="779" w:type="dxa"/>
            <w:noWrap/>
            <w:vAlign w:val="center"/>
          </w:tcPr>
          <w:p w14:paraId="5D66D2CF">
            <w:pPr>
              <w:pStyle w:val="150"/>
              <w:rPr>
                <w:sz w:val="18"/>
                <w:szCs w:val="18"/>
              </w:rPr>
            </w:pPr>
            <w:r>
              <w:rPr>
                <w:sz w:val="18"/>
                <w:szCs w:val="18"/>
              </w:rPr>
              <w:t>16</w:t>
            </w:r>
          </w:p>
        </w:tc>
        <w:tc>
          <w:tcPr>
            <w:tcW w:w="780" w:type="dxa"/>
            <w:noWrap/>
            <w:vAlign w:val="center"/>
          </w:tcPr>
          <w:p w14:paraId="4CB233D4">
            <w:pPr>
              <w:pStyle w:val="150"/>
              <w:rPr>
                <w:sz w:val="18"/>
                <w:szCs w:val="18"/>
              </w:rPr>
            </w:pPr>
          </w:p>
        </w:tc>
        <w:tc>
          <w:tcPr>
            <w:tcW w:w="780" w:type="dxa"/>
            <w:vAlign w:val="center"/>
          </w:tcPr>
          <w:p w14:paraId="6B7B23AE">
            <w:pPr>
              <w:pStyle w:val="150"/>
              <w:rPr>
                <w:sz w:val="18"/>
                <w:szCs w:val="18"/>
              </w:rPr>
            </w:pPr>
            <w:r>
              <w:rPr>
                <w:sz w:val="18"/>
                <w:szCs w:val="18"/>
              </w:rPr>
              <w:t>7</w:t>
            </w:r>
          </w:p>
        </w:tc>
        <w:tc>
          <w:tcPr>
            <w:tcW w:w="806" w:type="dxa"/>
            <w:noWrap/>
            <w:vAlign w:val="center"/>
          </w:tcPr>
          <w:p w14:paraId="6E14B7FA">
            <w:pPr>
              <w:pStyle w:val="150"/>
              <w:rPr>
                <w:sz w:val="18"/>
                <w:szCs w:val="18"/>
              </w:rPr>
            </w:pPr>
            <w:r>
              <w:rPr>
                <w:sz w:val="18"/>
                <w:szCs w:val="18"/>
              </w:rPr>
              <w:t>24</w:t>
            </w:r>
          </w:p>
        </w:tc>
      </w:tr>
      <w:tr w14:paraId="1B79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3D06DAF2">
            <w:pPr>
              <w:pStyle w:val="150"/>
              <w:jc w:val="left"/>
              <w:rPr>
                <w:sz w:val="18"/>
                <w:szCs w:val="18"/>
              </w:rPr>
            </w:pPr>
            <w:r>
              <w:rPr>
                <w:sz w:val="18"/>
                <w:szCs w:val="18"/>
              </w:rPr>
              <w:t>Služba za epidemiologiju</w:t>
            </w:r>
          </w:p>
        </w:tc>
        <w:tc>
          <w:tcPr>
            <w:tcW w:w="779" w:type="dxa"/>
            <w:noWrap/>
            <w:vAlign w:val="center"/>
          </w:tcPr>
          <w:p w14:paraId="4B0A378D">
            <w:pPr>
              <w:pStyle w:val="150"/>
              <w:rPr>
                <w:sz w:val="18"/>
                <w:szCs w:val="18"/>
              </w:rPr>
            </w:pPr>
          </w:p>
        </w:tc>
        <w:tc>
          <w:tcPr>
            <w:tcW w:w="780" w:type="dxa"/>
            <w:noWrap/>
            <w:vAlign w:val="center"/>
          </w:tcPr>
          <w:p w14:paraId="6201FA8E">
            <w:pPr>
              <w:pStyle w:val="150"/>
              <w:rPr>
                <w:sz w:val="18"/>
                <w:szCs w:val="18"/>
              </w:rPr>
            </w:pPr>
          </w:p>
        </w:tc>
        <w:tc>
          <w:tcPr>
            <w:tcW w:w="780" w:type="dxa"/>
            <w:noWrap/>
            <w:vAlign w:val="center"/>
          </w:tcPr>
          <w:p w14:paraId="00F60DBB">
            <w:pPr>
              <w:pStyle w:val="150"/>
              <w:rPr>
                <w:sz w:val="18"/>
                <w:szCs w:val="18"/>
              </w:rPr>
            </w:pPr>
          </w:p>
        </w:tc>
        <w:tc>
          <w:tcPr>
            <w:tcW w:w="779" w:type="dxa"/>
            <w:noWrap/>
            <w:vAlign w:val="center"/>
          </w:tcPr>
          <w:p w14:paraId="7A7960DF">
            <w:pPr>
              <w:pStyle w:val="150"/>
              <w:rPr>
                <w:sz w:val="18"/>
                <w:szCs w:val="18"/>
              </w:rPr>
            </w:pPr>
            <w:r>
              <w:rPr>
                <w:sz w:val="18"/>
                <w:szCs w:val="18"/>
              </w:rPr>
              <w:t>20</w:t>
            </w:r>
          </w:p>
        </w:tc>
        <w:tc>
          <w:tcPr>
            <w:tcW w:w="780" w:type="dxa"/>
            <w:noWrap/>
            <w:vAlign w:val="center"/>
          </w:tcPr>
          <w:p w14:paraId="1D865615">
            <w:pPr>
              <w:pStyle w:val="150"/>
              <w:rPr>
                <w:sz w:val="18"/>
                <w:szCs w:val="18"/>
              </w:rPr>
            </w:pPr>
            <w:r>
              <w:rPr>
                <w:sz w:val="18"/>
                <w:szCs w:val="18"/>
              </w:rPr>
              <w:t>22</w:t>
            </w:r>
          </w:p>
        </w:tc>
        <w:tc>
          <w:tcPr>
            <w:tcW w:w="780" w:type="dxa"/>
            <w:vAlign w:val="center"/>
          </w:tcPr>
          <w:p w14:paraId="45A12770">
            <w:pPr>
              <w:pStyle w:val="150"/>
              <w:rPr>
                <w:sz w:val="18"/>
                <w:szCs w:val="18"/>
              </w:rPr>
            </w:pPr>
            <w:r>
              <w:rPr>
                <w:sz w:val="18"/>
                <w:szCs w:val="18"/>
              </w:rPr>
              <w:t>30</w:t>
            </w:r>
          </w:p>
        </w:tc>
        <w:tc>
          <w:tcPr>
            <w:tcW w:w="806" w:type="dxa"/>
            <w:noWrap/>
            <w:vAlign w:val="center"/>
          </w:tcPr>
          <w:p w14:paraId="5272DC49">
            <w:pPr>
              <w:pStyle w:val="150"/>
              <w:rPr>
                <w:sz w:val="18"/>
                <w:szCs w:val="18"/>
              </w:rPr>
            </w:pPr>
            <w:r>
              <w:rPr>
                <w:sz w:val="18"/>
                <w:szCs w:val="18"/>
              </w:rPr>
              <w:t>72</w:t>
            </w:r>
          </w:p>
        </w:tc>
      </w:tr>
      <w:tr w14:paraId="5A7C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2A9D1355">
            <w:pPr>
              <w:pStyle w:val="150"/>
              <w:jc w:val="left"/>
              <w:rPr>
                <w:sz w:val="18"/>
                <w:szCs w:val="18"/>
              </w:rPr>
            </w:pPr>
            <w:r>
              <w:rPr>
                <w:sz w:val="18"/>
                <w:szCs w:val="18"/>
              </w:rPr>
              <w:t>Služba za informatiku, sigurnost i tehničke poslove</w:t>
            </w:r>
          </w:p>
        </w:tc>
        <w:tc>
          <w:tcPr>
            <w:tcW w:w="779" w:type="dxa"/>
            <w:noWrap/>
            <w:vAlign w:val="center"/>
          </w:tcPr>
          <w:p w14:paraId="66FB6F2E">
            <w:pPr>
              <w:pStyle w:val="150"/>
              <w:rPr>
                <w:sz w:val="18"/>
                <w:szCs w:val="18"/>
              </w:rPr>
            </w:pPr>
          </w:p>
        </w:tc>
        <w:tc>
          <w:tcPr>
            <w:tcW w:w="780" w:type="dxa"/>
            <w:noWrap/>
            <w:vAlign w:val="center"/>
          </w:tcPr>
          <w:p w14:paraId="56E5269B">
            <w:pPr>
              <w:pStyle w:val="150"/>
              <w:rPr>
                <w:sz w:val="18"/>
                <w:szCs w:val="18"/>
              </w:rPr>
            </w:pPr>
            <w:r>
              <w:rPr>
                <w:sz w:val="18"/>
                <w:szCs w:val="18"/>
              </w:rPr>
              <w:t>1</w:t>
            </w:r>
          </w:p>
        </w:tc>
        <w:tc>
          <w:tcPr>
            <w:tcW w:w="780" w:type="dxa"/>
            <w:noWrap/>
            <w:vAlign w:val="center"/>
          </w:tcPr>
          <w:p w14:paraId="3006DB8E">
            <w:pPr>
              <w:pStyle w:val="150"/>
              <w:rPr>
                <w:sz w:val="18"/>
                <w:szCs w:val="18"/>
              </w:rPr>
            </w:pPr>
          </w:p>
        </w:tc>
        <w:tc>
          <w:tcPr>
            <w:tcW w:w="779" w:type="dxa"/>
            <w:noWrap/>
            <w:vAlign w:val="center"/>
          </w:tcPr>
          <w:p w14:paraId="1221A8DC">
            <w:pPr>
              <w:pStyle w:val="150"/>
              <w:rPr>
                <w:sz w:val="18"/>
                <w:szCs w:val="18"/>
              </w:rPr>
            </w:pPr>
            <w:r>
              <w:rPr>
                <w:sz w:val="18"/>
                <w:szCs w:val="18"/>
              </w:rPr>
              <w:t>10</w:t>
            </w:r>
          </w:p>
        </w:tc>
        <w:tc>
          <w:tcPr>
            <w:tcW w:w="780" w:type="dxa"/>
            <w:noWrap/>
            <w:vAlign w:val="center"/>
          </w:tcPr>
          <w:p w14:paraId="3057C455">
            <w:pPr>
              <w:pStyle w:val="150"/>
              <w:rPr>
                <w:sz w:val="18"/>
                <w:szCs w:val="18"/>
              </w:rPr>
            </w:pPr>
            <w:r>
              <w:rPr>
                <w:sz w:val="18"/>
                <w:szCs w:val="18"/>
              </w:rPr>
              <w:t>2</w:t>
            </w:r>
          </w:p>
        </w:tc>
        <w:tc>
          <w:tcPr>
            <w:tcW w:w="780" w:type="dxa"/>
            <w:vAlign w:val="center"/>
          </w:tcPr>
          <w:p w14:paraId="3213C480">
            <w:pPr>
              <w:pStyle w:val="150"/>
              <w:rPr>
                <w:sz w:val="18"/>
                <w:szCs w:val="18"/>
              </w:rPr>
            </w:pPr>
            <w:r>
              <w:rPr>
                <w:sz w:val="18"/>
                <w:szCs w:val="18"/>
              </w:rPr>
              <w:t>6</w:t>
            </w:r>
          </w:p>
        </w:tc>
        <w:tc>
          <w:tcPr>
            <w:tcW w:w="806" w:type="dxa"/>
            <w:noWrap/>
            <w:vAlign w:val="center"/>
          </w:tcPr>
          <w:p w14:paraId="3B663140">
            <w:pPr>
              <w:pStyle w:val="150"/>
              <w:rPr>
                <w:sz w:val="18"/>
                <w:szCs w:val="18"/>
              </w:rPr>
            </w:pPr>
            <w:r>
              <w:rPr>
                <w:sz w:val="18"/>
                <w:szCs w:val="18"/>
              </w:rPr>
              <w:t>19</w:t>
            </w:r>
          </w:p>
        </w:tc>
      </w:tr>
      <w:tr w14:paraId="1FD4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6AD9F05D">
            <w:pPr>
              <w:pStyle w:val="150"/>
              <w:jc w:val="left"/>
              <w:rPr>
                <w:sz w:val="18"/>
                <w:szCs w:val="18"/>
              </w:rPr>
            </w:pPr>
            <w:r>
              <w:rPr>
                <w:sz w:val="18"/>
                <w:szCs w:val="18"/>
              </w:rPr>
              <w:t>Služba za javno zdravstvo</w:t>
            </w:r>
          </w:p>
        </w:tc>
        <w:tc>
          <w:tcPr>
            <w:tcW w:w="779" w:type="dxa"/>
            <w:noWrap/>
            <w:vAlign w:val="center"/>
          </w:tcPr>
          <w:p w14:paraId="45E7034A">
            <w:pPr>
              <w:pStyle w:val="150"/>
              <w:rPr>
                <w:sz w:val="18"/>
                <w:szCs w:val="18"/>
              </w:rPr>
            </w:pPr>
          </w:p>
        </w:tc>
        <w:tc>
          <w:tcPr>
            <w:tcW w:w="780" w:type="dxa"/>
            <w:noWrap/>
            <w:vAlign w:val="center"/>
          </w:tcPr>
          <w:p w14:paraId="4A76101D">
            <w:pPr>
              <w:pStyle w:val="150"/>
              <w:rPr>
                <w:sz w:val="18"/>
                <w:szCs w:val="18"/>
              </w:rPr>
            </w:pPr>
          </w:p>
        </w:tc>
        <w:tc>
          <w:tcPr>
            <w:tcW w:w="780" w:type="dxa"/>
            <w:noWrap/>
            <w:vAlign w:val="center"/>
          </w:tcPr>
          <w:p w14:paraId="2E550765">
            <w:pPr>
              <w:pStyle w:val="150"/>
              <w:rPr>
                <w:sz w:val="18"/>
                <w:szCs w:val="18"/>
              </w:rPr>
            </w:pPr>
          </w:p>
        </w:tc>
        <w:tc>
          <w:tcPr>
            <w:tcW w:w="779" w:type="dxa"/>
            <w:noWrap/>
            <w:vAlign w:val="center"/>
          </w:tcPr>
          <w:p w14:paraId="0F0985E3">
            <w:pPr>
              <w:pStyle w:val="150"/>
              <w:rPr>
                <w:sz w:val="18"/>
                <w:szCs w:val="18"/>
              </w:rPr>
            </w:pPr>
            <w:r>
              <w:rPr>
                <w:sz w:val="18"/>
                <w:szCs w:val="18"/>
              </w:rPr>
              <w:t>1</w:t>
            </w:r>
          </w:p>
        </w:tc>
        <w:tc>
          <w:tcPr>
            <w:tcW w:w="780" w:type="dxa"/>
            <w:noWrap/>
            <w:vAlign w:val="center"/>
          </w:tcPr>
          <w:p w14:paraId="7B6200EC">
            <w:pPr>
              <w:pStyle w:val="150"/>
              <w:rPr>
                <w:sz w:val="18"/>
                <w:szCs w:val="18"/>
              </w:rPr>
            </w:pPr>
            <w:r>
              <w:rPr>
                <w:sz w:val="18"/>
                <w:szCs w:val="18"/>
              </w:rPr>
              <w:t>2</w:t>
            </w:r>
          </w:p>
        </w:tc>
        <w:tc>
          <w:tcPr>
            <w:tcW w:w="780" w:type="dxa"/>
            <w:vAlign w:val="center"/>
          </w:tcPr>
          <w:p w14:paraId="79CA450F">
            <w:pPr>
              <w:pStyle w:val="150"/>
              <w:rPr>
                <w:sz w:val="18"/>
                <w:szCs w:val="18"/>
              </w:rPr>
            </w:pPr>
            <w:r>
              <w:rPr>
                <w:sz w:val="18"/>
                <w:szCs w:val="18"/>
              </w:rPr>
              <w:t>9</w:t>
            </w:r>
          </w:p>
        </w:tc>
        <w:tc>
          <w:tcPr>
            <w:tcW w:w="806" w:type="dxa"/>
            <w:noWrap/>
            <w:vAlign w:val="center"/>
          </w:tcPr>
          <w:p w14:paraId="5FC83CDE">
            <w:pPr>
              <w:pStyle w:val="150"/>
              <w:rPr>
                <w:sz w:val="18"/>
                <w:szCs w:val="18"/>
              </w:rPr>
            </w:pPr>
            <w:r>
              <w:rPr>
                <w:sz w:val="18"/>
                <w:szCs w:val="18"/>
              </w:rPr>
              <w:t>12</w:t>
            </w:r>
          </w:p>
        </w:tc>
      </w:tr>
      <w:tr w14:paraId="456A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24A5D7BC">
            <w:pPr>
              <w:pStyle w:val="150"/>
              <w:jc w:val="left"/>
              <w:rPr>
                <w:sz w:val="18"/>
                <w:szCs w:val="18"/>
              </w:rPr>
            </w:pPr>
            <w:r>
              <w:rPr>
                <w:sz w:val="18"/>
                <w:szCs w:val="18"/>
              </w:rPr>
              <w:t>Služba za javnozdravstvenu gerontologiju</w:t>
            </w:r>
          </w:p>
        </w:tc>
        <w:tc>
          <w:tcPr>
            <w:tcW w:w="779" w:type="dxa"/>
            <w:noWrap/>
            <w:vAlign w:val="center"/>
          </w:tcPr>
          <w:p w14:paraId="0951FB3A">
            <w:pPr>
              <w:pStyle w:val="150"/>
              <w:rPr>
                <w:sz w:val="18"/>
                <w:szCs w:val="18"/>
              </w:rPr>
            </w:pPr>
          </w:p>
        </w:tc>
        <w:tc>
          <w:tcPr>
            <w:tcW w:w="780" w:type="dxa"/>
            <w:noWrap/>
            <w:vAlign w:val="center"/>
          </w:tcPr>
          <w:p w14:paraId="291F8ED4">
            <w:pPr>
              <w:pStyle w:val="150"/>
              <w:rPr>
                <w:sz w:val="18"/>
                <w:szCs w:val="18"/>
              </w:rPr>
            </w:pPr>
          </w:p>
        </w:tc>
        <w:tc>
          <w:tcPr>
            <w:tcW w:w="780" w:type="dxa"/>
            <w:noWrap/>
            <w:vAlign w:val="center"/>
          </w:tcPr>
          <w:p w14:paraId="3AB71BAE">
            <w:pPr>
              <w:pStyle w:val="150"/>
              <w:rPr>
                <w:sz w:val="18"/>
                <w:szCs w:val="18"/>
              </w:rPr>
            </w:pPr>
          </w:p>
        </w:tc>
        <w:tc>
          <w:tcPr>
            <w:tcW w:w="779" w:type="dxa"/>
            <w:noWrap/>
            <w:vAlign w:val="center"/>
          </w:tcPr>
          <w:p w14:paraId="1DADB2B0">
            <w:pPr>
              <w:pStyle w:val="150"/>
              <w:rPr>
                <w:sz w:val="18"/>
                <w:szCs w:val="18"/>
              </w:rPr>
            </w:pPr>
          </w:p>
        </w:tc>
        <w:tc>
          <w:tcPr>
            <w:tcW w:w="780" w:type="dxa"/>
            <w:noWrap/>
            <w:vAlign w:val="center"/>
          </w:tcPr>
          <w:p w14:paraId="2BACC090">
            <w:pPr>
              <w:pStyle w:val="150"/>
              <w:rPr>
                <w:sz w:val="18"/>
                <w:szCs w:val="18"/>
              </w:rPr>
            </w:pPr>
            <w:r>
              <w:rPr>
                <w:sz w:val="18"/>
                <w:szCs w:val="18"/>
              </w:rPr>
              <w:t>1</w:t>
            </w:r>
          </w:p>
        </w:tc>
        <w:tc>
          <w:tcPr>
            <w:tcW w:w="780" w:type="dxa"/>
            <w:vAlign w:val="center"/>
          </w:tcPr>
          <w:p w14:paraId="1D6417C0">
            <w:pPr>
              <w:pStyle w:val="150"/>
              <w:rPr>
                <w:sz w:val="18"/>
                <w:szCs w:val="18"/>
              </w:rPr>
            </w:pPr>
            <w:r>
              <w:rPr>
                <w:sz w:val="18"/>
                <w:szCs w:val="18"/>
              </w:rPr>
              <w:t>5</w:t>
            </w:r>
          </w:p>
        </w:tc>
        <w:tc>
          <w:tcPr>
            <w:tcW w:w="806" w:type="dxa"/>
            <w:noWrap/>
            <w:vAlign w:val="center"/>
          </w:tcPr>
          <w:p w14:paraId="23EFE683">
            <w:pPr>
              <w:pStyle w:val="150"/>
              <w:rPr>
                <w:sz w:val="18"/>
                <w:szCs w:val="18"/>
              </w:rPr>
            </w:pPr>
            <w:r>
              <w:rPr>
                <w:sz w:val="18"/>
                <w:szCs w:val="18"/>
              </w:rPr>
              <w:t>6</w:t>
            </w:r>
          </w:p>
        </w:tc>
      </w:tr>
      <w:tr w14:paraId="15D5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3133EDBC">
            <w:pPr>
              <w:pStyle w:val="150"/>
              <w:jc w:val="left"/>
              <w:rPr>
                <w:sz w:val="18"/>
                <w:szCs w:val="18"/>
              </w:rPr>
            </w:pPr>
            <w:r>
              <w:rPr>
                <w:sz w:val="18"/>
                <w:szCs w:val="18"/>
              </w:rPr>
              <w:t>Služba za kliničku mikrobiologiju</w:t>
            </w:r>
          </w:p>
        </w:tc>
        <w:tc>
          <w:tcPr>
            <w:tcW w:w="779" w:type="dxa"/>
            <w:noWrap/>
            <w:vAlign w:val="center"/>
          </w:tcPr>
          <w:p w14:paraId="30342236">
            <w:pPr>
              <w:pStyle w:val="150"/>
              <w:rPr>
                <w:sz w:val="18"/>
                <w:szCs w:val="18"/>
              </w:rPr>
            </w:pPr>
          </w:p>
        </w:tc>
        <w:tc>
          <w:tcPr>
            <w:tcW w:w="780" w:type="dxa"/>
            <w:noWrap/>
            <w:vAlign w:val="center"/>
          </w:tcPr>
          <w:p w14:paraId="5B112E15">
            <w:pPr>
              <w:pStyle w:val="150"/>
              <w:rPr>
                <w:sz w:val="18"/>
                <w:szCs w:val="18"/>
              </w:rPr>
            </w:pPr>
            <w:r>
              <w:rPr>
                <w:sz w:val="18"/>
                <w:szCs w:val="18"/>
              </w:rPr>
              <w:t>6</w:t>
            </w:r>
          </w:p>
        </w:tc>
        <w:tc>
          <w:tcPr>
            <w:tcW w:w="780" w:type="dxa"/>
            <w:noWrap/>
            <w:vAlign w:val="center"/>
          </w:tcPr>
          <w:p w14:paraId="3D21CBDF">
            <w:pPr>
              <w:pStyle w:val="150"/>
              <w:rPr>
                <w:sz w:val="18"/>
                <w:szCs w:val="18"/>
              </w:rPr>
            </w:pPr>
          </w:p>
        </w:tc>
        <w:tc>
          <w:tcPr>
            <w:tcW w:w="779" w:type="dxa"/>
            <w:noWrap/>
            <w:vAlign w:val="center"/>
          </w:tcPr>
          <w:p w14:paraId="54970799">
            <w:pPr>
              <w:pStyle w:val="150"/>
              <w:rPr>
                <w:sz w:val="18"/>
                <w:szCs w:val="18"/>
              </w:rPr>
            </w:pPr>
            <w:r>
              <w:rPr>
                <w:sz w:val="18"/>
                <w:szCs w:val="18"/>
              </w:rPr>
              <w:t>26</w:t>
            </w:r>
          </w:p>
        </w:tc>
        <w:tc>
          <w:tcPr>
            <w:tcW w:w="780" w:type="dxa"/>
            <w:noWrap/>
            <w:vAlign w:val="center"/>
          </w:tcPr>
          <w:p w14:paraId="410B4D67">
            <w:pPr>
              <w:pStyle w:val="150"/>
              <w:rPr>
                <w:sz w:val="18"/>
                <w:szCs w:val="18"/>
              </w:rPr>
            </w:pPr>
            <w:r>
              <w:rPr>
                <w:sz w:val="18"/>
                <w:szCs w:val="18"/>
              </w:rPr>
              <w:t>13</w:t>
            </w:r>
          </w:p>
        </w:tc>
        <w:tc>
          <w:tcPr>
            <w:tcW w:w="780" w:type="dxa"/>
            <w:vAlign w:val="center"/>
          </w:tcPr>
          <w:p w14:paraId="69A53392">
            <w:pPr>
              <w:pStyle w:val="150"/>
              <w:rPr>
                <w:sz w:val="18"/>
                <w:szCs w:val="18"/>
              </w:rPr>
            </w:pPr>
            <w:r>
              <w:rPr>
                <w:sz w:val="18"/>
                <w:szCs w:val="18"/>
              </w:rPr>
              <w:t>18</w:t>
            </w:r>
          </w:p>
        </w:tc>
        <w:tc>
          <w:tcPr>
            <w:tcW w:w="806" w:type="dxa"/>
            <w:noWrap/>
            <w:vAlign w:val="center"/>
          </w:tcPr>
          <w:p w14:paraId="01B84900">
            <w:pPr>
              <w:pStyle w:val="150"/>
              <w:rPr>
                <w:sz w:val="18"/>
                <w:szCs w:val="18"/>
              </w:rPr>
            </w:pPr>
            <w:r>
              <w:rPr>
                <w:sz w:val="18"/>
                <w:szCs w:val="18"/>
              </w:rPr>
              <w:t>63</w:t>
            </w:r>
          </w:p>
        </w:tc>
      </w:tr>
      <w:tr w14:paraId="7C31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3023AF27">
            <w:pPr>
              <w:pStyle w:val="150"/>
              <w:jc w:val="left"/>
              <w:rPr>
                <w:sz w:val="18"/>
                <w:szCs w:val="18"/>
              </w:rPr>
            </w:pPr>
            <w:r>
              <w:rPr>
                <w:sz w:val="18"/>
                <w:szCs w:val="18"/>
              </w:rPr>
              <w:t>Služba za ljudske potencijale i pravne poslove</w:t>
            </w:r>
          </w:p>
        </w:tc>
        <w:tc>
          <w:tcPr>
            <w:tcW w:w="779" w:type="dxa"/>
            <w:noWrap/>
            <w:vAlign w:val="center"/>
          </w:tcPr>
          <w:p w14:paraId="64032742">
            <w:pPr>
              <w:pStyle w:val="150"/>
              <w:rPr>
                <w:sz w:val="18"/>
                <w:szCs w:val="18"/>
              </w:rPr>
            </w:pPr>
          </w:p>
        </w:tc>
        <w:tc>
          <w:tcPr>
            <w:tcW w:w="780" w:type="dxa"/>
            <w:noWrap/>
            <w:vAlign w:val="center"/>
          </w:tcPr>
          <w:p w14:paraId="680602BD">
            <w:pPr>
              <w:pStyle w:val="150"/>
              <w:rPr>
                <w:sz w:val="18"/>
                <w:szCs w:val="18"/>
              </w:rPr>
            </w:pPr>
            <w:r>
              <w:rPr>
                <w:sz w:val="18"/>
                <w:szCs w:val="18"/>
              </w:rPr>
              <w:t>2</w:t>
            </w:r>
          </w:p>
        </w:tc>
        <w:tc>
          <w:tcPr>
            <w:tcW w:w="780" w:type="dxa"/>
            <w:noWrap/>
            <w:vAlign w:val="center"/>
          </w:tcPr>
          <w:p w14:paraId="49A3FEDA">
            <w:pPr>
              <w:pStyle w:val="150"/>
              <w:rPr>
                <w:sz w:val="18"/>
                <w:szCs w:val="18"/>
              </w:rPr>
            </w:pPr>
            <w:r>
              <w:rPr>
                <w:sz w:val="18"/>
                <w:szCs w:val="18"/>
              </w:rPr>
              <w:t>1</w:t>
            </w:r>
          </w:p>
        </w:tc>
        <w:tc>
          <w:tcPr>
            <w:tcW w:w="779" w:type="dxa"/>
            <w:noWrap/>
            <w:vAlign w:val="center"/>
          </w:tcPr>
          <w:p w14:paraId="3374C424">
            <w:pPr>
              <w:pStyle w:val="150"/>
              <w:rPr>
                <w:sz w:val="18"/>
                <w:szCs w:val="18"/>
              </w:rPr>
            </w:pPr>
            <w:r>
              <w:rPr>
                <w:sz w:val="18"/>
                <w:szCs w:val="18"/>
              </w:rPr>
              <w:t>1</w:t>
            </w:r>
          </w:p>
        </w:tc>
        <w:tc>
          <w:tcPr>
            <w:tcW w:w="780" w:type="dxa"/>
            <w:noWrap/>
            <w:vAlign w:val="center"/>
          </w:tcPr>
          <w:p w14:paraId="219575D7">
            <w:pPr>
              <w:pStyle w:val="150"/>
              <w:rPr>
                <w:sz w:val="18"/>
                <w:szCs w:val="18"/>
              </w:rPr>
            </w:pPr>
            <w:r>
              <w:rPr>
                <w:sz w:val="18"/>
                <w:szCs w:val="18"/>
              </w:rPr>
              <w:t>2</w:t>
            </w:r>
          </w:p>
        </w:tc>
        <w:tc>
          <w:tcPr>
            <w:tcW w:w="780" w:type="dxa"/>
            <w:vAlign w:val="center"/>
          </w:tcPr>
          <w:p w14:paraId="7DD68DFF">
            <w:pPr>
              <w:pStyle w:val="150"/>
              <w:rPr>
                <w:sz w:val="18"/>
                <w:szCs w:val="18"/>
              </w:rPr>
            </w:pPr>
            <w:r>
              <w:rPr>
                <w:sz w:val="18"/>
                <w:szCs w:val="18"/>
              </w:rPr>
              <w:t>4</w:t>
            </w:r>
          </w:p>
        </w:tc>
        <w:tc>
          <w:tcPr>
            <w:tcW w:w="806" w:type="dxa"/>
            <w:noWrap/>
            <w:vAlign w:val="center"/>
          </w:tcPr>
          <w:p w14:paraId="2B12681F">
            <w:pPr>
              <w:pStyle w:val="150"/>
              <w:rPr>
                <w:sz w:val="18"/>
                <w:szCs w:val="18"/>
              </w:rPr>
            </w:pPr>
            <w:r>
              <w:rPr>
                <w:sz w:val="18"/>
                <w:szCs w:val="18"/>
              </w:rPr>
              <w:t>10</w:t>
            </w:r>
          </w:p>
        </w:tc>
      </w:tr>
      <w:tr w14:paraId="707A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09F47CF3">
            <w:pPr>
              <w:pStyle w:val="150"/>
              <w:jc w:val="left"/>
              <w:rPr>
                <w:sz w:val="18"/>
                <w:szCs w:val="18"/>
              </w:rPr>
            </w:pPr>
            <w:r>
              <w:rPr>
                <w:sz w:val="18"/>
                <w:szCs w:val="18"/>
              </w:rPr>
              <w:t>Služba za mentalno zdravlje i prevenciju ovisnosti</w:t>
            </w:r>
          </w:p>
        </w:tc>
        <w:tc>
          <w:tcPr>
            <w:tcW w:w="779" w:type="dxa"/>
            <w:noWrap/>
            <w:vAlign w:val="center"/>
          </w:tcPr>
          <w:p w14:paraId="036A1E11">
            <w:pPr>
              <w:pStyle w:val="150"/>
              <w:rPr>
                <w:sz w:val="18"/>
                <w:szCs w:val="18"/>
              </w:rPr>
            </w:pPr>
          </w:p>
        </w:tc>
        <w:tc>
          <w:tcPr>
            <w:tcW w:w="780" w:type="dxa"/>
            <w:noWrap/>
            <w:vAlign w:val="center"/>
          </w:tcPr>
          <w:p w14:paraId="191036F6">
            <w:pPr>
              <w:pStyle w:val="150"/>
              <w:rPr>
                <w:sz w:val="18"/>
                <w:szCs w:val="18"/>
              </w:rPr>
            </w:pPr>
          </w:p>
        </w:tc>
        <w:tc>
          <w:tcPr>
            <w:tcW w:w="780" w:type="dxa"/>
            <w:noWrap/>
            <w:vAlign w:val="center"/>
          </w:tcPr>
          <w:p w14:paraId="1E194B78">
            <w:pPr>
              <w:pStyle w:val="150"/>
              <w:rPr>
                <w:sz w:val="18"/>
                <w:szCs w:val="18"/>
              </w:rPr>
            </w:pPr>
          </w:p>
        </w:tc>
        <w:tc>
          <w:tcPr>
            <w:tcW w:w="779" w:type="dxa"/>
            <w:noWrap/>
            <w:vAlign w:val="center"/>
          </w:tcPr>
          <w:p w14:paraId="4B70F4BD">
            <w:pPr>
              <w:pStyle w:val="150"/>
              <w:rPr>
                <w:sz w:val="18"/>
                <w:szCs w:val="18"/>
              </w:rPr>
            </w:pPr>
            <w:r>
              <w:rPr>
                <w:sz w:val="18"/>
                <w:szCs w:val="18"/>
              </w:rPr>
              <w:t>6</w:t>
            </w:r>
          </w:p>
        </w:tc>
        <w:tc>
          <w:tcPr>
            <w:tcW w:w="780" w:type="dxa"/>
            <w:noWrap/>
            <w:vAlign w:val="center"/>
          </w:tcPr>
          <w:p w14:paraId="4769CEB3">
            <w:pPr>
              <w:pStyle w:val="150"/>
              <w:rPr>
                <w:sz w:val="18"/>
                <w:szCs w:val="18"/>
              </w:rPr>
            </w:pPr>
            <w:r>
              <w:rPr>
                <w:sz w:val="18"/>
                <w:szCs w:val="18"/>
              </w:rPr>
              <w:t>1</w:t>
            </w:r>
          </w:p>
        </w:tc>
        <w:tc>
          <w:tcPr>
            <w:tcW w:w="780" w:type="dxa"/>
            <w:vAlign w:val="center"/>
          </w:tcPr>
          <w:p w14:paraId="412B9347">
            <w:pPr>
              <w:pStyle w:val="150"/>
              <w:rPr>
                <w:sz w:val="18"/>
                <w:szCs w:val="18"/>
              </w:rPr>
            </w:pPr>
            <w:r>
              <w:rPr>
                <w:sz w:val="18"/>
                <w:szCs w:val="18"/>
              </w:rPr>
              <w:t>22</w:t>
            </w:r>
          </w:p>
        </w:tc>
        <w:tc>
          <w:tcPr>
            <w:tcW w:w="806" w:type="dxa"/>
            <w:noWrap/>
            <w:vAlign w:val="center"/>
          </w:tcPr>
          <w:p w14:paraId="3FBDD400">
            <w:pPr>
              <w:pStyle w:val="150"/>
              <w:rPr>
                <w:sz w:val="18"/>
                <w:szCs w:val="18"/>
              </w:rPr>
            </w:pPr>
            <w:r>
              <w:rPr>
                <w:sz w:val="18"/>
                <w:szCs w:val="18"/>
              </w:rPr>
              <w:t>29</w:t>
            </w:r>
          </w:p>
        </w:tc>
      </w:tr>
      <w:tr w14:paraId="5AB5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3186D658">
            <w:pPr>
              <w:pStyle w:val="150"/>
              <w:jc w:val="left"/>
              <w:rPr>
                <w:sz w:val="18"/>
                <w:szCs w:val="18"/>
              </w:rPr>
            </w:pPr>
            <w:r>
              <w:rPr>
                <w:sz w:val="18"/>
                <w:szCs w:val="18"/>
              </w:rPr>
              <w:t>Služba za školsku i adolescentnu medicinu</w:t>
            </w:r>
          </w:p>
        </w:tc>
        <w:tc>
          <w:tcPr>
            <w:tcW w:w="779" w:type="dxa"/>
            <w:noWrap/>
            <w:vAlign w:val="center"/>
          </w:tcPr>
          <w:p w14:paraId="1CD9B5D4">
            <w:pPr>
              <w:pStyle w:val="150"/>
              <w:rPr>
                <w:sz w:val="18"/>
                <w:szCs w:val="18"/>
              </w:rPr>
            </w:pPr>
          </w:p>
        </w:tc>
        <w:tc>
          <w:tcPr>
            <w:tcW w:w="780" w:type="dxa"/>
            <w:noWrap/>
            <w:vAlign w:val="center"/>
          </w:tcPr>
          <w:p w14:paraId="672140E8">
            <w:pPr>
              <w:pStyle w:val="150"/>
              <w:rPr>
                <w:sz w:val="18"/>
                <w:szCs w:val="18"/>
              </w:rPr>
            </w:pPr>
          </w:p>
        </w:tc>
        <w:tc>
          <w:tcPr>
            <w:tcW w:w="780" w:type="dxa"/>
            <w:noWrap/>
            <w:vAlign w:val="center"/>
          </w:tcPr>
          <w:p w14:paraId="01C3FBA5">
            <w:pPr>
              <w:pStyle w:val="150"/>
              <w:rPr>
                <w:sz w:val="18"/>
                <w:szCs w:val="18"/>
              </w:rPr>
            </w:pPr>
          </w:p>
        </w:tc>
        <w:tc>
          <w:tcPr>
            <w:tcW w:w="779" w:type="dxa"/>
            <w:noWrap/>
            <w:vAlign w:val="center"/>
          </w:tcPr>
          <w:p w14:paraId="5699A9FA">
            <w:pPr>
              <w:pStyle w:val="150"/>
              <w:rPr>
                <w:sz w:val="18"/>
                <w:szCs w:val="18"/>
              </w:rPr>
            </w:pPr>
            <w:r>
              <w:rPr>
                <w:sz w:val="18"/>
                <w:szCs w:val="18"/>
              </w:rPr>
              <w:t>6</w:t>
            </w:r>
          </w:p>
        </w:tc>
        <w:tc>
          <w:tcPr>
            <w:tcW w:w="780" w:type="dxa"/>
            <w:noWrap/>
            <w:vAlign w:val="center"/>
          </w:tcPr>
          <w:p w14:paraId="601ACF23">
            <w:pPr>
              <w:pStyle w:val="150"/>
              <w:rPr>
                <w:sz w:val="18"/>
                <w:szCs w:val="18"/>
              </w:rPr>
            </w:pPr>
            <w:r>
              <w:rPr>
                <w:sz w:val="18"/>
                <w:szCs w:val="18"/>
              </w:rPr>
              <w:t>29</w:t>
            </w:r>
          </w:p>
        </w:tc>
        <w:tc>
          <w:tcPr>
            <w:tcW w:w="780" w:type="dxa"/>
            <w:vAlign w:val="center"/>
          </w:tcPr>
          <w:p w14:paraId="7F895118">
            <w:pPr>
              <w:pStyle w:val="150"/>
              <w:rPr>
                <w:sz w:val="18"/>
                <w:szCs w:val="18"/>
              </w:rPr>
            </w:pPr>
            <w:r>
              <w:rPr>
                <w:sz w:val="18"/>
                <w:szCs w:val="18"/>
              </w:rPr>
              <w:t>42</w:t>
            </w:r>
          </w:p>
        </w:tc>
        <w:tc>
          <w:tcPr>
            <w:tcW w:w="806" w:type="dxa"/>
            <w:noWrap/>
            <w:vAlign w:val="center"/>
          </w:tcPr>
          <w:p w14:paraId="51F90EB0">
            <w:pPr>
              <w:pStyle w:val="150"/>
              <w:rPr>
                <w:sz w:val="18"/>
                <w:szCs w:val="18"/>
              </w:rPr>
            </w:pPr>
            <w:r>
              <w:rPr>
                <w:sz w:val="18"/>
                <w:szCs w:val="18"/>
              </w:rPr>
              <w:t>77</w:t>
            </w:r>
          </w:p>
        </w:tc>
      </w:tr>
      <w:tr w14:paraId="427E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noWrap/>
            <w:vAlign w:val="center"/>
          </w:tcPr>
          <w:p w14:paraId="78FBD460">
            <w:pPr>
              <w:pStyle w:val="150"/>
              <w:jc w:val="left"/>
              <w:rPr>
                <w:sz w:val="18"/>
                <w:szCs w:val="18"/>
              </w:rPr>
            </w:pPr>
            <w:r>
              <w:rPr>
                <w:sz w:val="18"/>
                <w:szCs w:val="18"/>
              </w:rPr>
              <w:t>Služba za zdravstvenu ekologiju</w:t>
            </w:r>
          </w:p>
        </w:tc>
        <w:tc>
          <w:tcPr>
            <w:tcW w:w="779" w:type="dxa"/>
            <w:noWrap/>
            <w:vAlign w:val="center"/>
          </w:tcPr>
          <w:p w14:paraId="700F60EE">
            <w:pPr>
              <w:pStyle w:val="150"/>
              <w:rPr>
                <w:sz w:val="18"/>
                <w:szCs w:val="18"/>
              </w:rPr>
            </w:pPr>
          </w:p>
        </w:tc>
        <w:tc>
          <w:tcPr>
            <w:tcW w:w="780" w:type="dxa"/>
            <w:noWrap/>
            <w:vAlign w:val="center"/>
          </w:tcPr>
          <w:p w14:paraId="1906869F">
            <w:pPr>
              <w:pStyle w:val="150"/>
              <w:rPr>
                <w:sz w:val="18"/>
                <w:szCs w:val="18"/>
              </w:rPr>
            </w:pPr>
            <w:r>
              <w:rPr>
                <w:sz w:val="18"/>
                <w:szCs w:val="18"/>
              </w:rPr>
              <w:t>3</w:t>
            </w:r>
          </w:p>
        </w:tc>
        <w:tc>
          <w:tcPr>
            <w:tcW w:w="780" w:type="dxa"/>
            <w:noWrap/>
            <w:vAlign w:val="center"/>
          </w:tcPr>
          <w:p w14:paraId="2A67347D">
            <w:pPr>
              <w:pStyle w:val="150"/>
              <w:rPr>
                <w:sz w:val="18"/>
                <w:szCs w:val="18"/>
              </w:rPr>
            </w:pPr>
            <w:r>
              <w:rPr>
                <w:sz w:val="18"/>
                <w:szCs w:val="18"/>
              </w:rPr>
              <w:t>1</w:t>
            </w:r>
          </w:p>
        </w:tc>
        <w:tc>
          <w:tcPr>
            <w:tcW w:w="779" w:type="dxa"/>
            <w:noWrap/>
            <w:vAlign w:val="center"/>
          </w:tcPr>
          <w:p w14:paraId="54557820">
            <w:pPr>
              <w:pStyle w:val="150"/>
              <w:rPr>
                <w:sz w:val="18"/>
                <w:szCs w:val="18"/>
              </w:rPr>
            </w:pPr>
            <w:r>
              <w:rPr>
                <w:sz w:val="18"/>
                <w:szCs w:val="18"/>
              </w:rPr>
              <w:t>27</w:t>
            </w:r>
          </w:p>
        </w:tc>
        <w:tc>
          <w:tcPr>
            <w:tcW w:w="780" w:type="dxa"/>
            <w:noWrap/>
            <w:vAlign w:val="center"/>
          </w:tcPr>
          <w:p w14:paraId="6DEE3FDC">
            <w:pPr>
              <w:pStyle w:val="150"/>
              <w:rPr>
                <w:sz w:val="18"/>
                <w:szCs w:val="18"/>
              </w:rPr>
            </w:pPr>
            <w:r>
              <w:rPr>
                <w:sz w:val="18"/>
                <w:szCs w:val="18"/>
              </w:rPr>
              <w:t>7</w:t>
            </w:r>
          </w:p>
        </w:tc>
        <w:tc>
          <w:tcPr>
            <w:tcW w:w="780" w:type="dxa"/>
            <w:vAlign w:val="center"/>
          </w:tcPr>
          <w:p w14:paraId="6814CBC3">
            <w:pPr>
              <w:pStyle w:val="150"/>
              <w:rPr>
                <w:sz w:val="18"/>
                <w:szCs w:val="18"/>
              </w:rPr>
            </w:pPr>
            <w:r>
              <w:rPr>
                <w:sz w:val="18"/>
                <w:szCs w:val="18"/>
              </w:rPr>
              <w:t>53</w:t>
            </w:r>
          </w:p>
        </w:tc>
        <w:tc>
          <w:tcPr>
            <w:tcW w:w="806" w:type="dxa"/>
            <w:noWrap/>
            <w:vAlign w:val="center"/>
          </w:tcPr>
          <w:p w14:paraId="00D9E6F6">
            <w:pPr>
              <w:pStyle w:val="150"/>
              <w:rPr>
                <w:sz w:val="18"/>
                <w:szCs w:val="18"/>
              </w:rPr>
            </w:pPr>
            <w:r>
              <w:rPr>
                <w:sz w:val="18"/>
                <w:szCs w:val="18"/>
              </w:rPr>
              <w:t>91</w:t>
            </w:r>
          </w:p>
        </w:tc>
      </w:tr>
      <w:tr w14:paraId="2DB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64" w:type="dxa"/>
            <w:tcBorders>
              <w:bottom w:val="double" w:color="auto" w:sz="4" w:space="0"/>
            </w:tcBorders>
            <w:noWrap/>
            <w:vAlign w:val="center"/>
          </w:tcPr>
          <w:p w14:paraId="7D971D70">
            <w:pPr>
              <w:pStyle w:val="150"/>
              <w:jc w:val="left"/>
              <w:rPr>
                <w:sz w:val="18"/>
                <w:szCs w:val="18"/>
              </w:rPr>
            </w:pPr>
            <w:r>
              <w:rPr>
                <w:sz w:val="18"/>
                <w:szCs w:val="18"/>
              </w:rPr>
              <w:t>Služba za znanost i nastavu</w:t>
            </w:r>
          </w:p>
        </w:tc>
        <w:tc>
          <w:tcPr>
            <w:tcW w:w="779" w:type="dxa"/>
            <w:tcBorders>
              <w:bottom w:val="double" w:color="auto" w:sz="4" w:space="0"/>
            </w:tcBorders>
            <w:noWrap/>
            <w:vAlign w:val="center"/>
          </w:tcPr>
          <w:p w14:paraId="2951490D">
            <w:pPr>
              <w:pStyle w:val="150"/>
              <w:rPr>
                <w:sz w:val="18"/>
                <w:szCs w:val="18"/>
              </w:rPr>
            </w:pPr>
          </w:p>
        </w:tc>
        <w:tc>
          <w:tcPr>
            <w:tcW w:w="780" w:type="dxa"/>
            <w:tcBorders>
              <w:bottom w:val="double" w:color="auto" w:sz="4" w:space="0"/>
            </w:tcBorders>
            <w:noWrap/>
            <w:vAlign w:val="center"/>
          </w:tcPr>
          <w:p w14:paraId="2E6C38D6">
            <w:pPr>
              <w:pStyle w:val="150"/>
              <w:rPr>
                <w:sz w:val="18"/>
                <w:szCs w:val="18"/>
              </w:rPr>
            </w:pPr>
          </w:p>
        </w:tc>
        <w:tc>
          <w:tcPr>
            <w:tcW w:w="780" w:type="dxa"/>
            <w:tcBorders>
              <w:bottom w:val="double" w:color="auto" w:sz="4" w:space="0"/>
            </w:tcBorders>
            <w:noWrap/>
            <w:vAlign w:val="center"/>
          </w:tcPr>
          <w:p w14:paraId="08CD3DAA">
            <w:pPr>
              <w:pStyle w:val="150"/>
              <w:rPr>
                <w:sz w:val="18"/>
                <w:szCs w:val="18"/>
              </w:rPr>
            </w:pPr>
          </w:p>
        </w:tc>
        <w:tc>
          <w:tcPr>
            <w:tcW w:w="779" w:type="dxa"/>
            <w:tcBorders>
              <w:bottom w:val="double" w:color="auto" w:sz="4" w:space="0"/>
            </w:tcBorders>
            <w:noWrap/>
            <w:vAlign w:val="center"/>
          </w:tcPr>
          <w:p w14:paraId="44C36704">
            <w:pPr>
              <w:pStyle w:val="150"/>
              <w:rPr>
                <w:sz w:val="18"/>
                <w:szCs w:val="18"/>
              </w:rPr>
            </w:pPr>
            <w:r>
              <w:rPr>
                <w:sz w:val="18"/>
                <w:szCs w:val="18"/>
              </w:rPr>
              <w:t>1</w:t>
            </w:r>
          </w:p>
        </w:tc>
        <w:tc>
          <w:tcPr>
            <w:tcW w:w="780" w:type="dxa"/>
            <w:tcBorders>
              <w:bottom w:val="double" w:color="auto" w:sz="4" w:space="0"/>
            </w:tcBorders>
            <w:noWrap/>
            <w:vAlign w:val="center"/>
          </w:tcPr>
          <w:p w14:paraId="1753F081">
            <w:pPr>
              <w:pStyle w:val="150"/>
              <w:rPr>
                <w:sz w:val="18"/>
                <w:szCs w:val="18"/>
              </w:rPr>
            </w:pPr>
          </w:p>
        </w:tc>
        <w:tc>
          <w:tcPr>
            <w:tcW w:w="780" w:type="dxa"/>
            <w:tcBorders>
              <w:bottom w:val="double" w:color="auto" w:sz="4" w:space="0"/>
            </w:tcBorders>
            <w:vAlign w:val="center"/>
          </w:tcPr>
          <w:p w14:paraId="0A3E357F">
            <w:pPr>
              <w:pStyle w:val="150"/>
              <w:rPr>
                <w:sz w:val="18"/>
                <w:szCs w:val="18"/>
              </w:rPr>
            </w:pPr>
            <w:r>
              <w:rPr>
                <w:sz w:val="18"/>
                <w:szCs w:val="18"/>
              </w:rPr>
              <w:t>9</w:t>
            </w:r>
          </w:p>
        </w:tc>
        <w:tc>
          <w:tcPr>
            <w:tcW w:w="806" w:type="dxa"/>
            <w:tcBorders>
              <w:bottom w:val="double" w:color="auto" w:sz="4" w:space="0"/>
            </w:tcBorders>
            <w:noWrap/>
            <w:vAlign w:val="center"/>
          </w:tcPr>
          <w:p w14:paraId="0F96F832">
            <w:pPr>
              <w:pStyle w:val="150"/>
              <w:rPr>
                <w:sz w:val="18"/>
                <w:szCs w:val="18"/>
              </w:rPr>
            </w:pPr>
            <w:r>
              <w:rPr>
                <w:sz w:val="18"/>
                <w:szCs w:val="18"/>
              </w:rPr>
              <w:t>10</w:t>
            </w:r>
          </w:p>
        </w:tc>
      </w:tr>
      <w:tr w14:paraId="42BC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964" w:type="dxa"/>
            <w:tcBorders>
              <w:top w:val="double" w:color="auto" w:sz="4" w:space="0"/>
            </w:tcBorders>
            <w:noWrap/>
            <w:vAlign w:val="center"/>
          </w:tcPr>
          <w:p w14:paraId="2BC96599">
            <w:pPr>
              <w:pStyle w:val="150"/>
              <w:jc w:val="left"/>
              <w:rPr>
                <w:i/>
                <w:iCs w:val="0"/>
                <w:sz w:val="18"/>
                <w:szCs w:val="18"/>
              </w:rPr>
            </w:pPr>
            <w:r>
              <w:rPr>
                <w:i/>
                <w:iCs w:val="0"/>
                <w:sz w:val="18"/>
                <w:szCs w:val="18"/>
              </w:rPr>
              <w:t>Ukupno</w:t>
            </w:r>
          </w:p>
        </w:tc>
        <w:tc>
          <w:tcPr>
            <w:tcW w:w="779" w:type="dxa"/>
            <w:tcBorders>
              <w:top w:val="double" w:color="auto" w:sz="4" w:space="0"/>
            </w:tcBorders>
            <w:noWrap/>
            <w:vAlign w:val="center"/>
          </w:tcPr>
          <w:p w14:paraId="684B56B4">
            <w:pPr>
              <w:pStyle w:val="150"/>
              <w:rPr>
                <w:sz w:val="18"/>
                <w:szCs w:val="18"/>
              </w:rPr>
            </w:pPr>
            <w:r>
              <w:rPr>
                <w:sz w:val="18"/>
                <w:szCs w:val="18"/>
              </w:rPr>
              <w:t>1</w:t>
            </w:r>
          </w:p>
        </w:tc>
        <w:tc>
          <w:tcPr>
            <w:tcW w:w="780" w:type="dxa"/>
            <w:tcBorders>
              <w:top w:val="double" w:color="auto" w:sz="4" w:space="0"/>
            </w:tcBorders>
            <w:noWrap/>
            <w:vAlign w:val="center"/>
          </w:tcPr>
          <w:p w14:paraId="2D4A131B">
            <w:pPr>
              <w:pStyle w:val="150"/>
              <w:rPr>
                <w:sz w:val="18"/>
                <w:szCs w:val="18"/>
              </w:rPr>
            </w:pPr>
            <w:r>
              <w:rPr>
                <w:sz w:val="18"/>
                <w:szCs w:val="18"/>
              </w:rPr>
              <w:t>12</w:t>
            </w:r>
          </w:p>
        </w:tc>
        <w:tc>
          <w:tcPr>
            <w:tcW w:w="780" w:type="dxa"/>
            <w:tcBorders>
              <w:top w:val="double" w:color="auto" w:sz="4" w:space="0"/>
            </w:tcBorders>
            <w:noWrap/>
            <w:vAlign w:val="center"/>
          </w:tcPr>
          <w:p w14:paraId="0DCBB2E0">
            <w:pPr>
              <w:pStyle w:val="150"/>
              <w:rPr>
                <w:sz w:val="18"/>
                <w:szCs w:val="18"/>
              </w:rPr>
            </w:pPr>
            <w:r>
              <w:rPr>
                <w:sz w:val="18"/>
                <w:szCs w:val="18"/>
              </w:rPr>
              <w:t>2</w:t>
            </w:r>
          </w:p>
        </w:tc>
        <w:tc>
          <w:tcPr>
            <w:tcW w:w="779" w:type="dxa"/>
            <w:tcBorders>
              <w:top w:val="double" w:color="auto" w:sz="4" w:space="0"/>
            </w:tcBorders>
            <w:noWrap/>
            <w:vAlign w:val="center"/>
          </w:tcPr>
          <w:p w14:paraId="5A99FA77">
            <w:pPr>
              <w:pStyle w:val="150"/>
              <w:rPr>
                <w:sz w:val="18"/>
                <w:szCs w:val="18"/>
              </w:rPr>
            </w:pPr>
            <w:r>
              <w:rPr>
                <w:sz w:val="18"/>
                <w:szCs w:val="18"/>
              </w:rPr>
              <w:t>115</w:t>
            </w:r>
          </w:p>
        </w:tc>
        <w:tc>
          <w:tcPr>
            <w:tcW w:w="780" w:type="dxa"/>
            <w:tcBorders>
              <w:top w:val="double" w:color="auto" w:sz="4" w:space="0"/>
            </w:tcBorders>
            <w:noWrap/>
            <w:vAlign w:val="center"/>
          </w:tcPr>
          <w:p w14:paraId="602A7ED2">
            <w:pPr>
              <w:pStyle w:val="150"/>
              <w:rPr>
                <w:sz w:val="18"/>
                <w:szCs w:val="18"/>
              </w:rPr>
            </w:pPr>
            <w:r>
              <w:rPr>
                <w:sz w:val="18"/>
                <w:szCs w:val="18"/>
              </w:rPr>
              <w:t>79</w:t>
            </w:r>
          </w:p>
        </w:tc>
        <w:tc>
          <w:tcPr>
            <w:tcW w:w="780" w:type="dxa"/>
            <w:tcBorders>
              <w:top w:val="double" w:color="auto" w:sz="4" w:space="0"/>
            </w:tcBorders>
            <w:vAlign w:val="center"/>
          </w:tcPr>
          <w:p w14:paraId="59502517">
            <w:pPr>
              <w:pStyle w:val="150"/>
              <w:rPr>
                <w:sz w:val="18"/>
                <w:szCs w:val="18"/>
              </w:rPr>
            </w:pPr>
            <w:r>
              <w:rPr>
                <w:sz w:val="18"/>
                <w:szCs w:val="18"/>
              </w:rPr>
              <w:t>210</w:t>
            </w:r>
          </w:p>
        </w:tc>
        <w:tc>
          <w:tcPr>
            <w:tcW w:w="806" w:type="dxa"/>
            <w:tcBorders>
              <w:top w:val="double" w:color="auto" w:sz="4" w:space="0"/>
            </w:tcBorders>
            <w:noWrap/>
            <w:vAlign w:val="center"/>
          </w:tcPr>
          <w:p w14:paraId="72ABC549">
            <w:pPr>
              <w:pStyle w:val="150"/>
              <w:rPr>
                <w:sz w:val="18"/>
                <w:szCs w:val="18"/>
              </w:rPr>
            </w:pPr>
            <w:r>
              <w:rPr>
                <w:sz w:val="18"/>
                <w:szCs w:val="18"/>
              </w:rPr>
              <w:t>419</w:t>
            </w:r>
          </w:p>
        </w:tc>
      </w:tr>
    </w:tbl>
    <w:p w14:paraId="2F43F8FB">
      <w:r>
        <w:br w:type="page"/>
      </w:r>
    </w:p>
    <w:p w14:paraId="79C64AC2"/>
    <w:p w14:paraId="29DB1F07">
      <w:pPr>
        <w:pStyle w:val="2"/>
      </w:pPr>
      <w:bookmarkStart w:id="44" w:name="_Toc184821169"/>
      <w:r>
        <w:t>11. Plan zapošljavanja</w:t>
      </w:r>
      <w:bookmarkEnd w:id="44"/>
    </w:p>
    <w:p w14:paraId="56420B43"/>
    <w:p w14:paraId="26849FF6">
      <w:r>
        <w:t>Plan zapošljavanja za 2025. predviđa zapošljavanje 39 radnika na neodređeno vrijeme (Tablica 11.1. i Tablica 11.2.).</w:t>
      </w:r>
    </w:p>
    <w:p w14:paraId="4834D6BA"/>
    <w:p w14:paraId="10864391">
      <w:pPr>
        <w:rPr>
          <w:i/>
          <w:iCs/>
        </w:rPr>
      </w:pPr>
      <w:r>
        <w:rPr>
          <w:i/>
          <w:iCs/>
        </w:rPr>
        <w:t>Tablica 11.1. – Broj planiranih zapošljavanja prema organizacijskim jedinicama</w:t>
      </w:r>
    </w:p>
    <w:tbl>
      <w:tblPr>
        <w:tblStyle w:val="12"/>
        <w:tblW w:w="7530" w:type="dxa"/>
        <w:tblInd w:w="0" w:type="dxa"/>
        <w:tblLayout w:type="autofit"/>
        <w:tblCellMar>
          <w:top w:w="0" w:type="dxa"/>
          <w:left w:w="108" w:type="dxa"/>
          <w:bottom w:w="0" w:type="dxa"/>
          <w:right w:w="108" w:type="dxa"/>
        </w:tblCellMar>
      </w:tblPr>
      <w:tblGrid>
        <w:gridCol w:w="4957"/>
        <w:gridCol w:w="1279"/>
        <w:gridCol w:w="1294"/>
      </w:tblGrid>
      <w:tr w14:paraId="65F74DF2">
        <w:tblPrEx>
          <w:tblCellMar>
            <w:top w:w="0" w:type="dxa"/>
            <w:left w:w="108" w:type="dxa"/>
            <w:bottom w:w="0" w:type="dxa"/>
            <w:right w:w="108" w:type="dxa"/>
          </w:tblCellMar>
        </w:tblPrEx>
        <w:trPr>
          <w:trHeight w:val="676" w:hRule="atLeast"/>
        </w:trPr>
        <w:tc>
          <w:tcPr>
            <w:tcW w:w="4957" w:type="dxa"/>
            <w:tcBorders>
              <w:top w:val="single" w:color="auto" w:sz="4" w:space="0"/>
              <w:left w:val="single" w:color="auto" w:sz="4" w:space="0"/>
              <w:bottom w:val="double" w:color="auto" w:sz="4" w:space="0"/>
              <w:right w:val="single" w:color="auto" w:sz="4" w:space="0"/>
            </w:tcBorders>
            <w:shd w:val="clear" w:color="auto" w:fill="auto"/>
            <w:noWrap/>
            <w:vAlign w:val="center"/>
          </w:tcPr>
          <w:p w14:paraId="3388A854">
            <w:pPr>
              <w:pStyle w:val="150"/>
              <w:jc w:val="left"/>
              <w:rPr>
                <w:i/>
                <w:iCs w:val="0"/>
                <w:sz w:val="24"/>
                <w:szCs w:val="24"/>
              </w:rPr>
            </w:pPr>
            <w:r>
              <w:rPr>
                <w:i/>
                <w:iCs w:val="0"/>
                <w:sz w:val="24"/>
                <w:szCs w:val="24"/>
              </w:rPr>
              <w:t>Službe</w:t>
            </w:r>
          </w:p>
        </w:tc>
        <w:tc>
          <w:tcPr>
            <w:tcW w:w="1279" w:type="dxa"/>
            <w:tcBorders>
              <w:top w:val="single" w:color="auto" w:sz="4" w:space="0"/>
              <w:left w:val="nil"/>
              <w:bottom w:val="double" w:color="auto" w:sz="4" w:space="0"/>
              <w:right w:val="single" w:color="auto" w:sz="4" w:space="0"/>
            </w:tcBorders>
            <w:shd w:val="clear" w:color="auto" w:fill="auto"/>
            <w:noWrap/>
            <w:vAlign w:val="center"/>
          </w:tcPr>
          <w:p w14:paraId="1CAE768F">
            <w:pPr>
              <w:pStyle w:val="150"/>
              <w:rPr>
                <w:i/>
                <w:iCs w:val="0"/>
                <w:sz w:val="24"/>
                <w:szCs w:val="24"/>
              </w:rPr>
            </w:pPr>
            <w:r>
              <w:rPr>
                <w:i/>
                <w:iCs w:val="0"/>
                <w:sz w:val="24"/>
                <w:szCs w:val="24"/>
              </w:rPr>
              <w:t>Broj</w:t>
            </w:r>
          </w:p>
        </w:tc>
        <w:tc>
          <w:tcPr>
            <w:tcW w:w="1294" w:type="dxa"/>
            <w:tcBorders>
              <w:top w:val="single" w:color="auto" w:sz="4" w:space="0"/>
              <w:left w:val="nil"/>
              <w:bottom w:val="double" w:color="auto" w:sz="4" w:space="0"/>
              <w:right w:val="single" w:color="auto" w:sz="4" w:space="0"/>
            </w:tcBorders>
            <w:shd w:val="clear" w:color="auto" w:fill="auto"/>
            <w:noWrap/>
            <w:vAlign w:val="center"/>
          </w:tcPr>
          <w:p w14:paraId="6C070FD5">
            <w:pPr>
              <w:pStyle w:val="150"/>
              <w:rPr>
                <w:i/>
                <w:iCs w:val="0"/>
                <w:sz w:val="24"/>
                <w:szCs w:val="24"/>
              </w:rPr>
            </w:pPr>
            <w:r>
              <w:rPr>
                <w:i/>
                <w:iCs w:val="0"/>
                <w:sz w:val="24"/>
                <w:szCs w:val="24"/>
              </w:rPr>
              <w:t>(%)</w:t>
            </w:r>
          </w:p>
        </w:tc>
      </w:tr>
      <w:tr w14:paraId="3F4805A1">
        <w:tblPrEx>
          <w:tblCellMar>
            <w:top w:w="0" w:type="dxa"/>
            <w:left w:w="108" w:type="dxa"/>
            <w:bottom w:w="0" w:type="dxa"/>
            <w:right w:w="108" w:type="dxa"/>
          </w:tblCellMar>
        </w:tblPrEx>
        <w:trPr>
          <w:trHeight w:val="397" w:hRule="atLeast"/>
        </w:trPr>
        <w:tc>
          <w:tcPr>
            <w:tcW w:w="4957" w:type="dxa"/>
            <w:tcBorders>
              <w:top w:val="double" w:color="auto" w:sz="4" w:space="0"/>
              <w:left w:val="single" w:color="auto" w:sz="4" w:space="0"/>
              <w:bottom w:val="single" w:color="auto" w:sz="4" w:space="0"/>
              <w:right w:val="single" w:color="auto" w:sz="4" w:space="0"/>
            </w:tcBorders>
            <w:shd w:val="clear" w:color="auto" w:fill="auto"/>
            <w:noWrap/>
            <w:vAlign w:val="center"/>
          </w:tcPr>
          <w:p w14:paraId="5B762896">
            <w:pPr>
              <w:pStyle w:val="150"/>
              <w:jc w:val="left"/>
            </w:pPr>
            <w:r>
              <w:t>Ravnateljstvo</w:t>
            </w:r>
          </w:p>
        </w:tc>
        <w:tc>
          <w:tcPr>
            <w:tcW w:w="1279" w:type="dxa"/>
            <w:tcBorders>
              <w:top w:val="double" w:color="auto" w:sz="4" w:space="0"/>
              <w:left w:val="nil"/>
              <w:bottom w:val="single" w:color="auto" w:sz="4" w:space="0"/>
              <w:right w:val="single" w:color="auto" w:sz="4" w:space="0"/>
            </w:tcBorders>
            <w:shd w:val="clear" w:color="auto" w:fill="auto"/>
            <w:noWrap/>
            <w:vAlign w:val="center"/>
          </w:tcPr>
          <w:p w14:paraId="5EFFDD01">
            <w:pPr>
              <w:pStyle w:val="150"/>
            </w:pPr>
            <w:r>
              <w:t>0</w:t>
            </w:r>
          </w:p>
        </w:tc>
        <w:tc>
          <w:tcPr>
            <w:tcW w:w="1294" w:type="dxa"/>
            <w:tcBorders>
              <w:top w:val="double" w:color="auto" w:sz="4" w:space="0"/>
              <w:left w:val="nil"/>
              <w:bottom w:val="single" w:color="auto" w:sz="4" w:space="0"/>
              <w:right w:val="single" w:color="auto" w:sz="4" w:space="0"/>
            </w:tcBorders>
            <w:shd w:val="clear" w:color="auto" w:fill="auto"/>
            <w:noWrap/>
            <w:vAlign w:val="center"/>
          </w:tcPr>
          <w:p w14:paraId="18CE5964">
            <w:pPr>
              <w:pStyle w:val="150"/>
            </w:pPr>
            <w:r>
              <w:rPr>
                <w:rFonts w:cs="Calibri Light"/>
              </w:rPr>
              <w:t>0%</w:t>
            </w:r>
          </w:p>
        </w:tc>
      </w:tr>
      <w:tr w14:paraId="5DB85DEF">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490CC316">
            <w:pPr>
              <w:pStyle w:val="150"/>
              <w:jc w:val="left"/>
            </w:pPr>
            <w:r>
              <w:t>Služba za epidemiologiju</w:t>
            </w:r>
          </w:p>
        </w:tc>
        <w:tc>
          <w:tcPr>
            <w:tcW w:w="1279" w:type="dxa"/>
            <w:tcBorders>
              <w:top w:val="nil"/>
              <w:left w:val="nil"/>
              <w:bottom w:val="single" w:color="auto" w:sz="4" w:space="0"/>
              <w:right w:val="single" w:color="auto" w:sz="4" w:space="0"/>
            </w:tcBorders>
            <w:shd w:val="clear" w:color="auto" w:fill="auto"/>
            <w:noWrap/>
            <w:vAlign w:val="center"/>
          </w:tcPr>
          <w:p w14:paraId="09A4F56B">
            <w:pPr>
              <w:pStyle w:val="150"/>
            </w:pPr>
            <w:r>
              <w:t>7</w:t>
            </w:r>
          </w:p>
        </w:tc>
        <w:tc>
          <w:tcPr>
            <w:tcW w:w="1294" w:type="dxa"/>
            <w:tcBorders>
              <w:top w:val="nil"/>
              <w:left w:val="nil"/>
              <w:bottom w:val="single" w:color="auto" w:sz="4" w:space="0"/>
              <w:right w:val="single" w:color="auto" w:sz="4" w:space="0"/>
            </w:tcBorders>
            <w:shd w:val="clear" w:color="auto" w:fill="auto"/>
            <w:noWrap/>
            <w:vAlign w:val="center"/>
          </w:tcPr>
          <w:p w14:paraId="1867B5DB">
            <w:pPr>
              <w:pStyle w:val="150"/>
            </w:pPr>
            <w:r>
              <w:rPr>
                <w:rFonts w:cs="Calibri Light"/>
              </w:rPr>
              <w:t>18%</w:t>
            </w:r>
          </w:p>
        </w:tc>
      </w:tr>
      <w:tr w14:paraId="27FF79C2">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04F88FB1">
            <w:pPr>
              <w:pStyle w:val="150"/>
              <w:jc w:val="left"/>
            </w:pPr>
            <w:r>
              <w:t>Služba za javno zdravstvo</w:t>
            </w:r>
          </w:p>
        </w:tc>
        <w:tc>
          <w:tcPr>
            <w:tcW w:w="1279" w:type="dxa"/>
            <w:tcBorders>
              <w:top w:val="nil"/>
              <w:left w:val="nil"/>
              <w:bottom w:val="single" w:color="auto" w:sz="4" w:space="0"/>
              <w:right w:val="single" w:color="auto" w:sz="4" w:space="0"/>
            </w:tcBorders>
            <w:shd w:val="clear" w:color="auto" w:fill="auto"/>
            <w:noWrap/>
            <w:vAlign w:val="center"/>
          </w:tcPr>
          <w:p w14:paraId="4EAD2210">
            <w:pPr>
              <w:pStyle w:val="150"/>
            </w:pPr>
            <w:r>
              <w:t>1</w:t>
            </w:r>
          </w:p>
        </w:tc>
        <w:tc>
          <w:tcPr>
            <w:tcW w:w="1294" w:type="dxa"/>
            <w:tcBorders>
              <w:top w:val="nil"/>
              <w:left w:val="nil"/>
              <w:bottom w:val="single" w:color="auto" w:sz="4" w:space="0"/>
              <w:right w:val="single" w:color="auto" w:sz="4" w:space="0"/>
            </w:tcBorders>
            <w:shd w:val="clear" w:color="auto" w:fill="auto"/>
            <w:noWrap/>
            <w:vAlign w:val="center"/>
          </w:tcPr>
          <w:p w14:paraId="63009275">
            <w:pPr>
              <w:pStyle w:val="150"/>
            </w:pPr>
            <w:r>
              <w:rPr>
                <w:rFonts w:cs="Calibri Light"/>
              </w:rPr>
              <w:t>3%</w:t>
            </w:r>
          </w:p>
        </w:tc>
      </w:tr>
      <w:tr w14:paraId="25E9C1AB">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0EEEC67F">
            <w:pPr>
              <w:pStyle w:val="150"/>
              <w:jc w:val="left"/>
            </w:pPr>
            <w:r>
              <w:t>Služba za javnozdravstvenu gerontologiju</w:t>
            </w:r>
          </w:p>
        </w:tc>
        <w:tc>
          <w:tcPr>
            <w:tcW w:w="1279" w:type="dxa"/>
            <w:tcBorders>
              <w:top w:val="nil"/>
              <w:left w:val="nil"/>
              <w:bottom w:val="single" w:color="auto" w:sz="4" w:space="0"/>
              <w:right w:val="single" w:color="auto" w:sz="4" w:space="0"/>
            </w:tcBorders>
            <w:shd w:val="clear" w:color="auto" w:fill="auto"/>
            <w:noWrap/>
            <w:vAlign w:val="center"/>
          </w:tcPr>
          <w:p w14:paraId="7941A065">
            <w:pPr>
              <w:pStyle w:val="150"/>
            </w:pPr>
            <w:r>
              <w:t>0</w:t>
            </w:r>
          </w:p>
        </w:tc>
        <w:tc>
          <w:tcPr>
            <w:tcW w:w="1294" w:type="dxa"/>
            <w:tcBorders>
              <w:top w:val="nil"/>
              <w:left w:val="nil"/>
              <w:bottom w:val="single" w:color="auto" w:sz="4" w:space="0"/>
              <w:right w:val="single" w:color="auto" w:sz="4" w:space="0"/>
            </w:tcBorders>
            <w:shd w:val="clear" w:color="auto" w:fill="auto"/>
            <w:noWrap/>
            <w:vAlign w:val="center"/>
          </w:tcPr>
          <w:p w14:paraId="65B32D9D">
            <w:pPr>
              <w:pStyle w:val="150"/>
            </w:pPr>
            <w:r>
              <w:rPr>
                <w:rFonts w:cs="Calibri Light"/>
              </w:rPr>
              <w:t>0%</w:t>
            </w:r>
          </w:p>
        </w:tc>
      </w:tr>
      <w:tr w14:paraId="7B45ACF3">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13B78A9A">
            <w:pPr>
              <w:pStyle w:val="150"/>
              <w:jc w:val="left"/>
            </w:pPr>
            <w:r>
              <w:t>Služba za kliničku mikrobiologiju</w:t>
            </w:r>
          </w:p>
        </w:tc>
        <w:tc>
          <w:tcPr>
            <w:tcW w:w="1279" w:type="dxa"/>
            <w:tcBorders>
              <w:top w:val="nil"/>
              <w:left w:val="nil"/>
              <w:bottom w:val="single" w:color="auto" w:sz="4" w:space="0"/>
              <w:right w:val="single" w:color="auto" w:sz="4" w:space="0"/>
            </w:tcBorders>
            <w:shd w:val="clear" w:color="auto" w:fill="auto"/>
            <w:noWrap/>
            <w:vAlign w:val="center"/>
          </w:tcPr>
          <w:p w14:paraId="034CE262">
            <w:pPr>
              <w:pStyle w:val="150"/>
            </w:pPr>
            <w:r>
              <w:t>4</w:t>
            </w:r>
          </w:p>
        </w:tc>
        <w:tc>
          <w:tcPr>
            <w:tcW w:w="1294" w:type="dxa"/>
            <w:tcBorders>
              <w:top w:val="nil"/>
              <w:left w:val="nil"/>
              <w:bottom w:val="single" w:color="auto" w:sz="4" w:space="0"/>
              <w:right w:val="single" w:color="auto" w:sz="4" w:space="0"/>
            </w:tcBorders>
            <w:shd w:val="clear" w:color="auto" w:fill="auto"/>
            <w:noWrap/>
            <w:vAlign w:val="center"/>
          </w:tcPr>
          <w:p w14:paraId="37957210">
            <w:pPr>
              <w:pStyle w:val="150"/>
            </w:pPr>
            <w:r>
              <w:rPr>
                <w:rFonts w:cs="Calibri Light"/>
              </w:rPr>
              <w:t>10%</w:t>
            </w:r>
          </w:p>
        </w:tc>
      </w:tr>
      <w:tr w14:paraId="02459D6B">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3B08CEA7">
            <w:pPr>
              <w:pStyle w:val="150"/>
              <w:jc w:val="left"/>
            </w:pPr>
            <w:r>
              <w:t>Služba za mentalno zdravlje i prevenciju ovisnosti</w:t>
            </w:r>
          </w:p>
        </w:tc>
        <w:tc>
          <w:tcPr>
            <w:tcW w:w="1279" w:type="dxa"/>
            <w:tcBorders>
              <w:top w:val="nil"/>
              <w:left w:val="nil"/>
              <w:bottom w:val="single" w:color="auto" w:sz="4" w:space="0"/>
              <w:right w:val="single" w:color="auto" w:sz="4" w:space="0"/>
            </w:tcBorders>
            <w:shd w:val="clear" w:color="auto" w:fill="auto"/>
            <w:noWrap/>
            <w:vAlign w:val="center"/>
          </w:tcPr>
          <w:p w14:paraId="5BECB78E">
            <w:pPr>
              <w:pStyle w:val="150"/>
            </w:pPr>
            <w:r>
              <w:t>0</w:t>
            </w:r>
          </w:p>
        </w:tc>
        <w:tc>
          <w:tcPr>
            <w:tcW w:w="1294" w:type="dxa"/>
            <w:tcBorders>
              <w:top w:val="nil"/>
              <w:left w:val="nil"/>
              <w:bottom w:val="single" w:color="auto" w:sz="4" w:space="0"/>
              <w:right w:val="single" w:color="auto" w:sz="4" w:space="0"/>
            </w:tcBorders>
            <w:shd w:val="clear" w:color="auto" w:fill="auto"/>
            <w:noWrap/>
            <w:vAlign w:val="center"/>
          </w:tcPr>
          <w:p w14:paraId="234AA917">
            <w:pPr>
              <w:pStyle w:val="150"/>
            </w:pPr>
            <w:r>
              <w:rPr>
                <w:rFonts w:cs="Calibri Light"/>
              </w:rPr>
              <w:t>0%</w:t>
            </w:r>
          </w:p>
        </w:tc>
      </w:tr>
      <w:tr w14:paraId="22597567">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43B4BEFA">
            <w:pPr>
              <w:pStyle w:val="150"/>
              <w:jc w:val="left"/>
            </w:pPr>
            <w:r>
              <w:t>Služba za školsku i adolescentnu medicinu</w:t>
            </w:r>
          </w:p>
        </w:tc>
        <w:tc>
          <w:tcPr>
            <w:tcW w:w="1279" w:type="dxa"/>
            <w:tcBorders>
              <w:top w:val="nil"/>
              <w:left w:val="nil"/>
              <w:bottom w:val="single" w:color="auto" w:sz="4" w:space="0"/>
              <w:right w:val="single" w:color="auto" w:sz="4" w:space="0"/>
            </w:tcBorders>
            <w:shd w:val="clear" w:color="auto" w:fill="auto"/>
            <w:noWrap/>
            <w:vAlign w:val="center"/>
          </w:tcPr>
          <w:p w14:paraId="080F6401">
            <w:pPr>
              <w:pStyle w:val="150"/>
            </w:pPr>
            <w:r>
              <w:t>9</w:t>
            </w:r>
          </w:p>
        </w:tc>
        <w:tc>
          <w:tcPr>
            <w:tcW w:w="1294" w:type="dxa"/>
            <w:tcBorders>
              <w:top w:val="nil"/>
              <w:left w:val="nil"/>
              <w:bottom w:val="single" w:color="auto" w:sz="4" w:space="0"/>
              <w:right w:val="single" w:color="auto" w:sz="4" w:space="0"/>
            </w:tcBorders>
            <w:shd w:val="clear" w:color="auto" w:fill="auto"/>
            <w:noWrap/>
            <w:vAlign w:val="center"/>
          </w:tcPr>
          <w:p w14:paraId="517C230C">
            <w:pPr>
              <w:pStyle w:val="150"/>
            </w:pPr>
            <w:r>
              <w:rPr>
                <w:rFonts w:cs="Calibri Light"/>
              </w:rPr>
              <w:t>23%</w:t>
            </w:r>
          </w:p>
        </w:tc>
      </w:tr>
      <w:tr w14:paraId="0498A699">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5CF9B56D">
            <w:pPr>
              <w:pStyle w:val="150"/>
              <w:jc w:val="left"/>
            </w:pPr>
            <w:r>
              <w:t>Služba za zdravstvenu ekologiju</w:t>
            </w:r>
          </w:p>
        </w:tc>
        <w:tc>
          <w:tcPr>
            <w:tcW w:w="1279" w:type="dxa"/>
            <w:tcBorders>
              <w:top w:val="nil"/>
              <w:left w:val="nil"/>
              <w:bottom w:val="single" w:color="auto" w:sz="4" w:space="0"/>
              <w:right w:val="single" w:color="auto" w:sz="4" w:space="0"/>
            </w:tcBorders>
            <w:shd w:val="clear" w:color="auto" w:fill="auto"/>
            <w:noWrap/>
            <w:vAlign w:val="center"/>
          </w:tcPr>
          <w:p w14:paraId="72B1FB99">
            <w:pPr>
              <w:pStyle w:val="150"/>
            </w:pPr>
            <w:r>
              <w:t>6</w:t>
            </w:r>
          </w:p>
        </w:tc>
        <w:tc>
          <w:tcPr>
            <w:tcW w:w="1294" w:type="dxa"/>
            <w:tcBorders>
              <w:top w:val="nil"/>
              <w:left w:val="nil"/>
              <w:bottom w:val="single" w:color="auto" w:sz="4" w:space="0"/>
              <w:right w:val="single" w:color="auto" w:sz="4" w:space="0"/>
            </w:tcBorders>
            <w:shd w:val="clear" w:color="auto" w:fill="auto"/>
            <w:noWrap/>
            <w:vAlign w:val="center"/>
          </w:tcPr>
          <w:p w14:paraId="310E1717">
            <w:pPr>
              <w:pStyle w:val="150"/>
            </w:pPr>
            <w:r>
              <w:rPr>
                <w:rFonts w:cs="Calibri Light"/>
              </w:rPr>
              <w:t>15%</w:t>
            </w:r>
          </w:p>
        </w:tc>
      </w:tr>
      <w:tr w14:paraId="46761183">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6F3BFBDE">
            <w:pPr>
              <w:pStyle w:val="150"/>
              <w:jc w:val="left"/>
            </w:pPr>
            <w:r>
              <w:t>Služba za znanost i nastavu</w:t>
            </w:r>
          </w:p>
        </w:tc>
        <w:tc>
          <w:tcPr>
            <w:tcW w:w="1279" w:type="dxa"/>
            <w:tcBorders>
              <w:top w:val="nil"/>
              <w:left w:val="nil"/>
              <w:bottom w:val="single" w:color="auto" w:sz="4" w:space="0"/>
              <w:right w:val="single" w:color="auto" w:sz="4" w:space="0"/>
            </w:tcBorders>
            <w:shd w:val="clear" w:color="auto" w:fill="auto"/>
            <w:noWrap/>
            <w:vAlign w:val="center"/>
          </w:tcPr>
          <w:p w14:paraId="6B3A6E01">
            <w:pPr>
              <w:pStyle w:val="150"/>
            </w:pPr>
            <w:r>
              <w:t>0</w:t>
            </w:r>
          </w:p>
        </w:tc>
        <w:tc>
          <w:tcPr>
            <w:tcW w:w="1294" w:type="dxa"/>
            <w:tcBorders>
              <w:top w:val="nil"/>
              <w:left w:val="nil"/>
              <w:bottom w:val="single" w:color="auto" w:sz="4" w:space="0"/>
              <w:right w:val="single" w:color="auto" w:sz="4" w:space="0"/>
            </w:tcBorders>
            <w:shd w:val="clear" w:color="auto" w:fill="auto"/>
            <w:noWrap/>
            <w:vAlign w:val="center"/>
          </w:tcPr>
          <w:p w14:paraId="3B9B0E08">
            <w:pPr>
              <w:pStyle w:val="150"/>
            </w:pPr>
            <w:r>
              <w:rPr>
                <w:rFonts w:cs="Calibri Light"/>
              </w:rPr>
              <w:t>0%</w:t>
            </w:r>
          </w:p>
        </w:tc>
      </w:tr>
      <w:tr w14:paraId="59A006E9">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3A8AA8CE">
            <w:pPr>
              <w:pStyle w:val="150"/>
              <w:jc w:val="left"/>
            </w:pPr>
            <w:r>
              <w:t>Služba za ekonomske poslove</w:t>
            </w:r>
          </w:p>
        </w:tc>
        <w:tc>
          <w:tcPr>
            <w:tcW w:w="1279" w:type="dxa"/>
            <w:tcBorders>
              <w:top w:val="nil"/>
              <w:left w:val="nil"/>
              <w:bottom w:val="single" w:color="auto" w:sz="4" w:space="0"/>
              <w:right w:val="single" w:color="auto" w:sz="4" w:space="0"/>
            </w:tcBorders>
            <w:shd w:val="clear" w:color="auto" w:fill="auto"/>
            <w:noWrap/>
            <w:vAlign w:val="center"/>
          </w:tcPr>
          <w:p w14:paraId="747AB4FC">
            <w:pPr>
              <w:pStyle w:val="150"/>
            </w:pPr>
            <w:r>
              <w:t>0</w:t>
            </w:r>
          </w:p>
        </w:tc>
        <w:tc>
          <w:tcPr>
            <w:tcW w:w="1294" w:type="dxa"/>
            <w:tcBorders>
              <w:top w:val="nil"/>
              <w:left w:val="nil"/>
              <w:bottom w:val="single" w:color="auto" w:sz="4" w:space="0"/>
              <w:right w:val="single" w:color="auto" w:sz="4" w:space="0"/>
            </w:tcBorders>
            <w:shd w:val="clear" w:color="auto" w:fill="auto"/>
            <w:noWrap/>
            <w:vAlign w:val="center"/>
          </w:tcPr>
          <w:p w14:paraId="227E12B2">
            <w:pPr>
              <w:pStyle w:val="150"/>
            </w:pPr>
            <w:r>
              <w:rPr>
                <w:rFonts w:cs="Calibri Light"/>
              </w:rPr>
              <w:t>0%</w:t>
            </w:r>
          </w:p>
        </w:tc>
      </w:tr>
      <w:tr w14:paraId="4ADCDFA7">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6B360716">
            <w:pPr>
              <w:pStyle w:val="150"/>
              <w:jc w:val="left"/>
            </w:pPr>
            <w:r>
              <w:t>Služba za informatiku, sigurnost i tehničke poslove</w:t>
            </w:r>
          </w:p>
        </w:tc>
        <w:tc>
          <w:tcPr>
            <w:tcW w:w="1279" w:type="dxa"/>
            <w:tcBorders>
              <w:top w:val="nil"/>
              <w:left w:val="nil"/>
              <w:bottom w:val="single" w:color="auto" w:sz="4" w:space="0"/>
              <w:right w:val="single" w:color="auto" w:sz="4" w:space="0"/>
            </w:tcBorders>
            <w:shd w:val="clear" w:color="auto" w:fill="auto"/>
            <w:noWrap/>
            <w:vAlign w:val="center"/>
          </w:tcPr>
          <w:p w14:paraId="12BACD28">
            <w:pPr>
              <w:pStyle w:val="150"/>
            </w:pPr>
            <w:r>
              <w:t>4</w:t>
            </w:r>
          </w:p>
        </w:tc>
        <w:tc>
          <w:tcPr>
            <w:tcW w:w="1294" w:type="dxa"/>
            <w:tcBorders>
              <w:top w:val="nil"/>
              <w:left w:val="nil"/>
              <w:bottom w:val="single" w:color="auto" w:sz="4" w:space="0"/>
              <w:right w:val="single" w:color="auto" w:sz="4" w:space="0"/>
            </w:tcBorders>
            <w:shd w:val="clear" w:color="auto" w:fill="auto"/>
            <w:noWrap/>
            <w:vAlign w:val="center"/>
          </w:tcPr>
          <w:p w14:paraId="235D3C3E">
            <w:pPr>
              <w:pStyle w:val="150"/>
            </w:pPr>
            <w:r>
              <w:rPr>
                <w:rFonts w:cs="Calibri Light"/>
              </w:rPr>
              <w:t>10%</w:t>
            </w:r>
          </w:p>
        </w:tc>
      </w:tr>
      <w:tr w14:paraId="4F6E5A56">
        <w:tblPrEx>
          <w:tblCellMar>
            <w:top w:w="0" w:type="dxa"/>
            <w:left w:w="108" w:type="dxa"/>
            <w:bottom w:w="0" w:type="dxa"/>
            <w:right w:w="108" w:type="dxa"/>
          </w:tblCellMar>
        </w:tblPrEx>
        <w:trPr>
          <w:trHeight w:val="397" w:hRule="atLeast"/>
        </w:trPr>
        <w:tc>
          <w:tcPr>
            <w:tcW w:w="4957" w:type="dxa"/>
            <w:tcBorders>
              <w:top w:val="nil"/>
              <w:left w:val="single" w:color="auto" w:sz="4" w:space="0"/>
              <w:bottom w:val="single" w:color="auto" w:sz="4" w:space="0"/>
              <w:right w:val="single" w:color="auto" w:sz="4" w:space="0"/>
            </w:tcBorders>
            <w:shd w:val="clear" w:color="auto" w:fill="auto"/>
            <w:noWrap/>
            <w:vAlign w:val="center"/>
          </w:tcPr>
          <w:p w14:paraId="167CEE4D">
            <w:pPr>
              <w:pStyle w:val="150"/>
              <w:jc w:val="left"/>
            </w:pPr>
            <w:r>
              <w:t>Služba za ljudske potencijale i pravne poslove</w:t>
            </w:r>
          </w:p>
        </w:tc>
        <w:tc>
          <w:tcPr>
            <w:tcW w:w="1279" w:type="dxa"/>
            <w:tcBorders>
              <w:top w:val="nil"/>
              <w:left w:val="nil"/>
              <w:bottom w:val="single" w:color="auto" w:sz="4" w:space="0"/>
              <w:right w:val="single" w:color="auto" w:sz="4" w:space="0"/>
            </w:tcBorders>
            <w:shd w:val="clear" w:color="auto" w:fill="auto"/>
            <w:noWrap/>
            <w:vAlign w:val="center"/>
          </w:tcPr>
          <w:p w14:paraId="51CEB146">
            <w:pPr>
              <w:pStyle w:val="150"/>
            </w:pPr>
            <w:r>
              <w:t>3</w:t>
            </w:r>
          </w:p>
        </w:tc>
        <w:tc>
          <w:tcPr>
            <w:tcW w:w="1294" w:type="dxa"/>
            <w:tcBorders>
              <w:top w:val="nil"/>
              <w:left w:val="nil"/>
              <w:bottom w:val="single" w:color="auto" w:sz="4" w:space="0"/>
              <w:right w:val="single" w:color="auto" w:sz="4" w:space="0"/>
            </w:tcBorders>
            <w:shd w:val="clear" w:color="auto" w:fill="auto"/>
            <w:noWrap/>
            <w:vAlign w:val="center"/>
          </w:tcPr>
          <w:p w14:paraId="0173B834">
            <w:pPr>
              <w:pStyle w:val="150"/>
            </w:pPr>
            <w:r>
              <w:rPr>
                <w:rFonts w:cs="Calibri Light"/>
              </w:rPr>
              <w:t>8%</w:t>
            </w:r>
          </w:p>
        </w:tc>
      </w:tr>
      <w:tr w14:paraId="704A8344">
        <w:tblPrEx>
          <w:tblCellMar>
            <w:top w:w="0" w:type="dxa"/>
            <w:left w:w="108" w:type="dxa"/>
            <w:bottom w:w="0" w:type="dxa"/>
            <w:right w:w="108" w:type="dxa"/>
          </w:tblCellMar>
        </w:tblPrEx>
        <w:trPr>
          <w:trHeight w:val="397" w:hRule="atLeast"/>
        </w:trPr>
        <w:tc>
          <w:tcPr>
            <w:tcW w:w="4957" w:type="dxa"/>
            <w:tcBorders>
              <w:top w:val="nil"/>
              <w:left w:val="single" w:color="auto" w:sz="4" w:space="0"/>
              <w:bottom w:val="double" w:color="auto" w:sz="4" w:space="0"/>
              <w:right w:val="single" w:color="auto" w:sz="4" w:space="0"/>
            </w:tcBorders>
            <w:shd w:val="clear" w:color="auto" w:fill="auto"/>
            <w:noWrap/>
            <w:vAlign w:val="center"/>
          </w:tcPr>
          <w:p w14:paraId="578C7EF7">
            <w:pPr>
              <w:pStyle w:val="150"/>
              <w:jc w:val="left"/>
            </w:pPr>
            <w:r>
              <w:t>ostala radna mjesta</w:t>
            </w:r>
          </w:p>
        </w:tc>
        <w:tc>
          <w:tcPr>
            <w:tcW w:w="1279" w:type="dxa"/>
            <w:tcBorders>
              <w:top w:val="nil"/>
              <w:left w:val="nil"/>
              <w:bottom w:val="double" w:color="auto" w:sz="4" w:space="0"/>
              <w:right w:val="single" w:color="auto" w:sz="4" w:space="0"/>
            </w:tcBorders>
            <w:shd w:val="clear" w:color="auto" w:fill="auto"/>
            <w:noWrap/>
            <w:vAlign w:val="center"/>
          </w:tcPr>
          <w:p w14:paraId="43EFBA59">
            <w:pPr>
              <w:pStyle w:val="150"/>
            </w:pPr>
            <w:r>
              <w:t>5</w:t>
            </w:r>
          </w:p>
        </w:tc>
        <w:tc>
          <w:tcPr>
            <w:tcW w:w="1294" w:type="dxa"/>
            <w:tcBorders>
              <w:top w:val="nil"/>
              <w:left w:val="nil"/>
              <w:bottom w:val="double" w:color="auto" w:sz="4" w:space="0"/>
              <w:right w:val="single" w:color="auto" w:sz="4" w:space="0"/>
            </w:tcBorders>
            <w:shd w:val="clear" w:color="auto" w:fill="auto"/>
            <w:noWrap/>
            <w:vAlign w:val="center"/>
          </w:tcPr>
          <w:p w14:paraId="5ECCC265">
            <w:pPr>
              <w:pStyle w:val="150"/>
            </w:pPr>
            <w:r>
              <w:rPr>
                <w:rFonts w:cs="Calibri Light"/>
              </w:rPr>
              <w:t>13%</w:t>
            </w:r>
          </w:p>
        </w:tc>
      </w:tr>
      <w:tr w14:paraId="7EA1B053">
        <w:tblPrEx>
          <w:tblCellMar>
            <w:top w:w="0" w:type="dxa"/>
            <w:left w:w="108" w:type="dxa"/>
            <w:bottom w:w="0" w:type="dxa"/>
            <w:right w:w="108" w:type="dxa"/>
          </w:tblCellMar>
        </w:tblPrEx>
        <w:trPr>
          <w:trHeight w:val="613" w:hRule="atLeast"/>
        </w:trPr>
        <w:tc>
          <w:tcPr>
            <w:tcW w:w="4957" w:type="dxa"/>
            <w:tcBorders>
              <w:top w:val="double" w:color="auto" w:sz="4" w:space="0"/>
              <w:left w:val="single" w:color="auto" w:sz="4" w:space="0"/>
              <w:bottom w:val="single" w:color="auto" w:sz="4" w:space="0"/>
              <w:right w:val="single" w:color="auto" w:sz="4" w:space="0"/>
            </w:tcBorders>
            <w:shd w:val="clear" w:color="auto" w:fill="auto"/>
            <w:noWrap/>
            <w:vAlign w:val="center"/>
          </w:tcPr>
          <w:p w14:paraId="759ABB17">
            <w:pPr>
              <w:pStyle w:val="150"/>
              <w:jc w:val="left"/>
              <w:rPr>
                <w:i/>
                <w:iCs w:val="0"/>
                <w:sz w:val="24"/>
                <w:szCs w:val="24"/>
              </w:rPr>
            </w:pPr>
            <w:r>
              <w:rPr>
                <w:i/>
                <w:iCs w:val="0"/>
                <w:sz w:val="24"/>
                <w:szCs w:val="24"/>
              </w:rPr>
              <w:t>Ukupno</w:t>
            </w:r>
          </w:p>
        </w:tc>
        <w:tc>
          <w:tcPr>
            <w:tcW w:w="1279" w:type="dxa"/>
            <w:tcBorders>
              <w:top w:val="double" w:color="auto" w:sz="4" w:space="0"/>
              <w:left w:val="nil"/>
              <w:bottom w:val="single" w:color="auto" w:sz="4" w:space="0"/>
              <w:right w:val="single" w:color="auto" w:sz="4" w:space="0"/>
            </w:tcBorders>
            <w:shd w:val="clear" w:color="auto" w:fill="auto"/>
            <w:noWrap/>
            <w:vAlign w:val="center"/>
          </w:tcPr>
          <w:p w14:paraId="4C085711">
            <w:pPr>
              <w:pStyle w:val="150"/>
              <w:rPr>
                <w:sz w:val="24"/>
                <w:szCs w:val="24"/>
              </w:rPr>
            </w:pPr>
            <w:r>
              <w:rPr>
                <w:sz w:val="24"/>
                <w:szCs w:val="24"/>
              </w:rPr>
              <w:t>39</w:t>
            </w:r>
          </w:p>
        </w:tc>
        <w:tc>
          <w:tcPr>
            <w:tcW w:w="1294" w:type="dxa"/>
            <w:tcBorders>
              <w:top w:val="double" w:color="auto" w:sz="4" w:space="0"/>
              <w:left w:val="nil"/>
              <w:bottom w:val="single" w:color="auto" w:sz="4" w:space="0"/>
              <w:right w:val="single" w:color="auto" w:sz="4" w:space="0"/>
            </w:tcBorders>
            <w:shd w:val="clear" w:color="auto" w:fill="auto"/>
            <w:noWrap/>
            <w:vAlign w:val="center"/>
          </w:tcPr>
          <w:p w14:paraId="77010ECC">
            <w:pPr>
              <w:pStyle w:val="150"/>
              <w:rPr>
                <w:sz w:val="24"/>
                <w:szCs w:val="24"/>
              </w:rPr>
            </w:pPr>
            <w:r>
              <w:rPr>
                <w:rFonts w:cs="Calibri Light"/>
                <w:sz w:val="24"/>
                <w:szCs w:val="24"/>
              </w:rPr>
              <w:t>100%</w:t>
            </w:r>
          </w:p>
        </w:tc>
      </w:tr>
    </w:tbl>
    <w:p w14:paraId="27FBE703">
      <w:r>
        <w:br w:type="page"/>
      </w:r>
    </w:p>
    <w:p w14:paraId="68180C7C">
      <w:pPr>
        <w:rPr>
          <w:i/>
          <w:iCs/>
        </w:rPr>
      </w:pPr>
      <w:r>
        <w:rPr>
          <w:i/>
          <w:iCs/>
        </w:rPr>
        <w:t xml:space="preserve">Tablica 11.2. – Broj planiranih zapošljavanja prema organizacijskim jedinicama i prema radnim mjestima </w:t>
      </w:r>
    </w:p>
    <w:tbl>
      <w:tblPr>
        <w:tblStyle w:val="34"/>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4910"/>
        <w:gridCol w:w="2268"/>
        <w:gridCol w:w="1227"/>
      </w:tblGrid>
      <w:tr w14:paraId="75C5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55" w:type="dxa"/>
            <w:tcBorders>
              <w:bottom w:val="double" w:color="auto" w:sz="4" w:space="0"/>
            </w:tcBorders>
            <w:vAlign w:val="center"/>
          </w:tcPr>
          <w:p w14:paraId="4F9A1B1F">
            <w:pPr>
              <w:pStyle w:val="150"/>
              <w:jc w:val="left"/>
              <w:rPr>
                <w:i/>
                <w:iCs w:val="0"/>
                <w:sz w:val="18"/>
                <w:szCs w:val="18"/>
              </w:rPr>
            </w:pPr>
            <w:r>
              <w:rPr>
                <w:i/>
                <w:iCs w:val="0"/>
                <w:sz w:val="18"/>
                <w:szCs w:val="18"/>
              </w:rPr>
              <w:t xml:space="preserve">Red. </w:t>
            </w:r>
            <w:r>
              <w:rPr>
                <w:i/>
                <w:iCs w:val="0"/>
                <w:sz w:val="18"/>
                <w:szCs w:val="18"/>
              </w:rPr>
              <w:br w:type="textWrapping"/>
            </w:r>
            <w:r>
              <w:rPr>
                <w:i/>
                <w:iCs w:val="0"/>
                <w:sz w:val="18"/>
                <w:szCs w:val="18"/>
              </w:rPr>
              <w:t>br.</w:t>
            </w:r>
          </w:p>
        </w:tc>
        <w:tc>
          <w:tcPr>
            <w:tcW w:w="7178" w:type="dxa"/>
            <w:gridSpan w:val="2"/>
            <w:tcBorders>
              <w:bottom w:val="double" w:color="auto" w:sz="4" w:space="0"/>
            </w:tcBorders>
            <w:vAlign w:val="center"/>
          </w:tcPr>
          <w:p w14:paraId="660F6121">
            <w:pPr>
              <w:pStyle w:val="150"/>
              <w:jc w:val="left"/>
              <w:rPr>
                <w:i/>
                <w:iCs w:val="0"/>
                <w:sz w:val="18"/>
                <w:szCs w:val="18"/>
              </w:rPr>
            </w:pPr>
            <w:r>
              <w:rPr>
                <w:i/>
                <w:iCs w:val="0"/>
                <w:sz w:val="18"/>
                <w:szCs w:val="18"/>
              </w:rPr>
              <w:t>Organizacijska jedinica i naziv radnog mjesta</w:t>
            </w:r>
          </w:p>
        </w:tc>
        <w:tc>
          <w:tcPr>
            <w:tcW w:w="1227" w:type="dxa"/>
            <w:tcBorders>
              <w:bottom w:val="double" w:color="auto" w:sz="4" w:space="0"/>
            </w:tcBorders>
            <w:vAlign w:val="center"/>
          </w:tcPr>
          <w:p w14:paraId="770E2C44">
            <w:pPr>
              <w:pStyle w:val="150"/>
              <w:rPr>
                <w:i/>
                <w:iCs w:val="0"/>
                <w:sz w:val="18"/>
                <w:szCs w:val="18"/>
              </w:rPr>
            </w:pPr>
            <w:r>
              <w:rPr>
                <w:i/>
                <w:iCs w:val="0"/>
                <w:sz w:val="18"/>
                <w:szCs w:val="18"/>
              </w:rPr>
              <w:t xml:space="preserve">Broj </w:t>
            </w:r>
            <w:r>
              <w:rPr>
                <w:i/>
                <w:iCs w:val="0"/>
                <w:sz w:val="18"/>
                <w:szCs w:val="18"/>
              </w:rPr>
              <w:br w:type="textWrapping"/>
            </w:r>
            <w:r>
              <w:rPr>
                <w:i/>
                <w:iCs w:val="0"/>
                <w:sz w:val="18"/>
                <w:szCs w:val="18"/>
              </w:rPr>
              <w:t>(neodređeno)</w:t>
            </w:r>
          </w:p>
        </w:tc>
      </w:tr>
      <w:tr w14:paraId="2CCC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tcBorders>
              <w:top w:val="double" w:color="auto" w:sz="4" w:space="0"/>
            </w:tcBorders>
            <w:noWrap/>
            <w:vAlign w:val="center"/>
          </w:tcPr>
          <w:p w14:paraId="26A3A5B0">
            <w:pPr>
              <w:pStyle w:val="150"/>
              <w:jc w:val="left"/>
              <w:rPr>
                <w:sz w:val="18"/>
                <w:szCs w:val="18"/>
              </w:rPr>
            </w:pPr>
            <w:r>
              <w:rPr>
                <w:sz w:val="18"/>
                <w:szCs w:val="18"/>
              </w:rPr>
              <w:t> </w:t>
            </w:r>
          </w:p>
        </w:tc>
        <w:tc>
          <w:tcPr>
            <w:tcW w:w="7178" w:type="dxa"/>
            <w:gridSpan w:val="2"/>
            <w:tcBorders>
              <w:top w:val="double" w:color="auto" w:sz="4" w:space="0"/>
            </w:tcBorders>
            <w:vAlign w:val="center"/>
          </w:tcPr>
          <w:p w14:paraId="0A4E0713">
            <w:pPr>
              <w:pStyle w:val="150"/>
              <w:jc w:val="left"/>
              <w:rPr>
                <w:sz w:val="18"/>
                <w:szCs w:val="18"/>
              </w:rPr>
            </w:pPr>
            <w:r>
              <w:rPr>
                <w:i/>
                <w:iCs w:val="0"/>
                <w:sz w:val="18"/>
                <w:szCs w:val="18"/>
              </w:rPr>
              <w:t>Služba za epidemiologiju</w:t>
            </w:r>
          </w:p>
        </w:tc>
        <w:tc>
          <w:tcPr>
            <w:tcW w:w="1227" w:type="dxa"/>
            <w:tcBorders>
              <w:top w:val="double" w:color="auto" w:sz="4" w:space="0"/>
            </w:tcBorders>
            <w:vAlign w:val="center"/>
          </w:tcPr>
          <w:p w14:paraId="6E722A42">
            <w:pPr>
              <w:pStyle w:val="150"/>
              <w:rPr>
                <w:sz w:val="18"/>
                <w:szCs w:val="18"/>
              </w:rPr>
            </w:pPr>
            <w:r>
              <w:rPr>
                <w:sz w:val="18"/>
                <w:szCs w:val="18"/>
              </w:rPr>
              <w:t>7</w:t>
            </w:r>
          </w:p>
        </w:tc>
      </w:tr>
      <w:tr w14:paraId="4F09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2C5AC1A2">
            <w:pPr>
              <w:pStyle w:val="150"/>
              <w:jc w:val="left"/>
              <w:rPr>
                <w:sz w:val="18"/>
                <w:szCs w:val="18"/>
              </w:rPr>
            </w:pPr>
            <w:r>
              <w:rPr>
                <w:sz w:val="18"/>
                <w:szCs w:val="18"/>
              </w:rPr>
              <w:t>1.</w:t>
            </w:r>
          </w:p>
        </w:tc>
        <w:tc>
          <w:tcPr>
            <w:tcW w:w="4910" w:type="dxa"/>
            <w:vAlign w:val="center"/>
          </w:tcPr>
          <w:p w14:paraId="30C32B56">
            <w:pPr>
              <w:pStyle w:val="150"/>
              <w:jc w:val="left"/>
              <w:rPr>
                <w:sz w:val="18"/>
                <w:szCs w:val="18"/>
              </w:rPr>
            </w:pPr>
            <w:r>
              <w:rPr>
                <w:sz w:val="18"/>
                <w:szCs w:val="18"/>
              </w:rPr>
              <w:t>Doktor medicine specijalist i doktor dentalne medicine specijalist-specijalist savjetnik 2</w:t>
            </w:r>
          </w:p>
        </w:tc>
        <w:tc>
          <w:tcPr>
            <w:tcW w:w="2268" w:type="dxa"/>
            <w:vAlign w:val="center"/>
          </w:tcPr>
          <w:p w14:paraId="4A6240A8">
            <w:pPr>
              <w:pStyle w:val="150"/>
              <w:jc w:val="left"/>
              <w:rPr>
                <w:sz w:val="18"/>
                <w:szCs w:val="18"/>
              </w:rPr>
            </w:pPr>
            <w:r>
              <w:rPr>
                <w:sz w:val="18"/>
                <w:szCs w:val="18"/>
              </w:rPr>
              <w:t>Doktor medicine specijalist savjetnik 2</w:t>
            </w:r>
          </w:p>
        </w:tc>
        <w:tc>
          <w:tcPr>
            <w:tcW w:w="1227" w:type="dxa"/>
            <w:vAlign w:val="center"/>
          </w:tcPr>
          <w:p w14:paraId="365752A3">
            <w:pPr>
              <w:pStyle w:val="150"/>
              <w:rPr>
                <w:sz w:val="18"/>
                <w:szCs w:val="18"/>
              </w:rPr>
            </w:pPr>
            <w:r>
              <w:rPr>
                <w:sz w:val="18"/>
                <w:szCs w:val="18"/>
              </w:rPr>
              <w:t>3</w:t>
            </w:r>
          </w:p>
        </w:tc>
      </w:tr>
      <w:tr w14:paraId="658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4C3DC5CC">
            <w:pPr>
              <w:pStyle w:val="150"/>
              <w:jc w:val="left"/>
              <w:rPr>
                <w:sz w:val="18"/>
                <w:szCs w:val="18"/>
              </w:rPr>
            </w:pPr>
            <w:r>
              <w:rPr>
                <w:sz w:val="18"/>
                <w:szCs w:val="18"/>
              </w:rPr>
              <w:t>2.</w:t>
            </w:r>
          </w:p>
        </w:tc>
        <w:tc>
          <w:tcPr>
            <w:tcW w:w="4910" w:type="dxa"/>
            <w:vAlign w:val="center"/>
          </w:tcPr>
          <w:p w14:paraId="78DA05C9">
            <w:pPr>
              <w:pStyle w:val="150"/>
              <w:jc w:val="left"/>
              <w:rPr>
                <w:sz w:val="18"/>
                <w:szCs w:val="18"/>
              </w:rPr>
            </w:pPr>
            <w:r>
              <w:rPr>
                <w:sz w:val="18"/>
                <w:szCs w:val="18"/>
              </w:rPr>
              <w:t>Zdravstveni radnik u zdravstvenom zavodu</w:t>
            </w:r>
            <w:r>
              <w:rPr>
                <w:sz w:val="18"/>
                <w:szCs w:val="18"/>
              </w:rPr>
              <w:br w:type="textWrapping"/>
            </w:r>
            <w:r>
              <w:rPr>
                <w:sz w:val="18"/>
                <w:szCs w:val="18"/>
              </w:rPr>
              <w:t>(Odjel za epidemiologiju zaraznih bolesti)</w:t>
            </w:r>
          </w:p>
        </w:tc>
        <w:tc>
          <w:tcPr>
            <w:tcW w:w="2268" w:type="dxa"/>
            <w:vAlign w:val="center"/>
          </w:tcPr>
          <w:p w14:paraId="5F1CF8B0">
            <w:pPr>
              <w:pStyle w:val="150"/>
              <w:jc w:val="left"/>
              <w:rPr>
                <w:sz w:val="18"/>
                <w:szCs w:val="18"/>
              </w:rPr>
            </w:pPr>
            <w:r>
              <w:rPr>
                <w:sz w:val="18"/>
                <w:szCs w:val="18"/>
              </w:rPr>
              <w:t>Mag. sanitarnog inženjerstva</w:t>
            </w:r>
          </w:p>
        </w:tc>
        <w:tc>
          <w:tcPr>
            <w:tcW w:w="1227" w:type="dxa"/>
            <w:vAlign w:val="center"/>
          </w:tcPr>
          <w:p w14:paraId="757D5DC3">
            <w:pPr>
              <w:pStyle w:val="150"/>
              <w:rPr>
                <w:sz w:val="18"/>
                <w:szCs w:val="18"/>
              </w:rPr>
            </w:pPr>
            <w:r>
              <w:rPr>
                <w:sz w:val="18"/>
                <w:szCs w:val="18"/>
              </w:rPr>
              <w:t>3</w:t>
            </w:r>
          </w:p>
        </w:tc>
      </w:tr>
      <w:tr w14:paraId="5EAB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6D14DBC6">
            <w:pPr>
              <w:pStyle w:val="150"/>
              <w:jc w:val="left"/>
              <w:rPr>
                <w:sz w:val="18"/>
                <w:szCs w:val="18"/>
              </w:rPr>
            </w:pPr>
            <w:r>
              <w:rPr>
                <w:sz w:val="18"/>
                <w:szCs w:val="18"/>
              </w:rPr>
              <w:t>3.</w:t>
            </w:r>
          </w:p>
        </w:tc>
        <w:tc>
          <w:tcPr>
            <w:tcW w:w="4910" w:type="dxa"/>
            <w:vAlign w:val="center"/>
          </w:tcPr>
          <w:p w14:paraId="54402CAC">
            <w:pPr>
              <w:pStyle w:val="150"/>
              <w:jc w:val="left"/>
              <w:rPr>
                <w:sz w:val="18"/>
                <w:szCs w:val="18"/>
              </w:rPr>
            </w:pPr>
            <w:r>
              <w:rPr>
                <w:sz w:val="18"/>
                <w:szCs w:val="18"/>
              </w:rPr>
              <w:t xml:space="preserve">Zdravstveni radnik u zdravstvenom zavodu </w:t>
            </w:r>
            <w:r>
              <w:rPr>
                <w:sz w:val="18"/>
                <w:szCs w:val="18"/>
              </w:rPr>
              <w:br w:type="textWrapping"/>
            </w:r>
            <w:r>
              <w:rPr>
                <w:sz w:val="18"/>
                <w:szCs w:val="18"/>
              </w:rPr>
              <w:t>(Odjel za sustav sigurnosti hrane i zdravstveni odgoj)</w:t>
            </w:r>
          </w:p>
        </w:tc>
        <w:tc>
          <w:tcPr>
            <w:tcW w:w="2268" w:type="dxa"/>
            <w:vAlign w:val="center"/>
          </w:tcPr>
          <w:p w14:paraId="3CFE9222">
            <w:pPr>
              <w:pStyle w:val="150"/>
              <w:jc w:val="left"/>
              <w:rPr>
                <w:sz w:val="18"/>
                <w:szCs w:val="18"/>
              </w:rPr>
            </w:pPr>
            <w:r>
              <w:rPr>
                <w:sz w:val="18"/>
                <w:szCs w:val="18"/>
              </w:rPr>
              <w:t>Mag. sanitarnog inženjerstva</w:t>
            </w:r>
          </w:p>
        </w:tc>
        <w:tc>
          <w:tcPr>
            <w:tcW w:w="1227" w:type="dxa"/>
            <w:vAlign w:val="center"/>
          </w:tcPr>
          <w:p w14:paraId="0D38FF6A">
            <w:pPr>
              <w:pStyle w:val="150"/>
              <w:rPr>
                <w:sz w:val="18"/>
                <w:szCs w:val="18"/>
              </w:rPr>
            </w:pPr>
            <w:r>
              <w:rPr>
                <w:sz w:val="18"/>
                <w:szCs w:val="18"/>
              </w:rPr>
              <w:t>1</w:t>
            </w:r>
          </w:p>
        </w:tc>
      </w:tr>
      <w:tr w14:paraId="6F83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6D2585A4">
            <w:pPr>
              <w:pStyle w:val="150"/>
              <w:jc w:val="left"/>
              <w:rPr>
                <w:sz w:val="18"/>
                <w:szCs w:val="18"/>
              </w:rPr>
            </w:pPr>
            <w:r>
              <w:rPr>
                <w:sz w:val="18"/>
                <w:szCs w:val="18"/>
              </w:rPr>
              <w:t> </w:t>
            </w:r>
          </w:p>
        </w:tc>
        <w:tc>
          <w:tcPr>
            <w:tcW w:w="7178" w:type="dxa"/>
            <w:gridSpan w:val="2"/>
            <w:noWrap/>
            <w:vAlign w:val="center"/>
          </w:tcPr>
          <w:p w14:paraId="2CF616A5">
            <w:pPr>
              <w:pStyle w:val="150"/>
              <w:jc w:val="left"/>
              <w:rPr>
                <w:sz w:val="18"/>
                <w:szCs w:val="18"/>
              </w:rPr>
            </w:pPr>
            <w:r>
              <w:rPr>
                <w:i/>
                <w:iCs w:val="0"/>
                <w:sz w:val="18"/>
                <w:szCs w:val="18"/>
              </w:rPr>
              <w:t>Služba za kliničku mikrobiologiju</w:t>
            </w:r>
          </w:p>
        </w:tc>
        <w:tc>
          <w:tcPr>
            <w:tcW w:w="1227" w:type="dxa"/>
            <w:vAlign w:val="center"/>
          </w:tcPr>
          <w:p w14:paraId="77CF8736">
            <w:pPr>
              <w:pStyle w:val="150"/>
              <w:rPr>
                <w:sz w:val="18"/>
                <w:szCs w:val="18"/>
              </w:rPr>
            </w:pPr>
            <w:r>
              <w:rPr>
                <w:sz w:val="18"/>
                <w:szCs w:val="18"/>
              </w:rPr>
              <w:t>4</w:t>
            </w:r>
          </w:p>
        </w:tc>
      </w:tr>
      <w:tr w14:paraId="61F2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15DE5866">
            <w:pPr>
              <w:pStyle w:val="150"/>
              <w:jc w:val="left"/>
              <w:rPr>
                <w:sz w:val="18"/>
                <w:szCs w:val="18"/>
              </w:rPr>
            </w:pPr>
            <w:r>
              <w:rPr>
                <w:sz w:val="18"/>
                <w:szCs w:val="18"/>
              </w:rPr>
              <w:t>1.</w:t>
            </w:r>
          </w:p>
        </w:tc>
        <w:tc>
          <w:tcPr>
            <w:tcW w:w="4910" w:type="dxa"/>
            <w:vAlign w:val="center"/>
          </w:tcPr>
          <w:p w14:paraId="0DF207DE">
            <w:pPr>
              <w:pStyle w:val="150"/>
              <w:jc w:val="left"/>
              <w:rPr>
                <w:sz w:val="18"/>
                <w:szCs w:val="18"/>
              </w:rPr>
            </w:pPr>
            <w:r>
              <w:rPr>
                <w:sz w:val="18"/>
                <w:szCs w:val="18"/>
              </w:rPr>
              <w:t>Doktor medicine specijalist i doktor dentalne medicine specijalist-specijalist savjetnik 1/2 / Doktor medicine specijalist i doktor dentalne medicine specijalist 1/2</w:t>
            </w:r>
          </w:p>
        </w:tc>
        <w:tc>
          <w:tcPr>
            <w:tcW w:w="2268" w:type="dxa"/>
            <w:vAlign w:val="center"/>
          </w:tcPr>
          <w:p w14:paraId="192475B7">
            <w:pPr>
              <w:pStyle w:val="150"/>
              <w:jc w:val="left"/>
              <w:rPr>
                <w:sz w:val="18"/>
                <w:szCs w:val="18"/>
              </w:rPr>
            </w:pPr>
            <w:r>
              <w:rPr>
                <w:sz w:val="18"/>
                <w:szCs w:val="18"/>
              </w:rPr>
              <w:t> </w:t>
            </w:r>
          </w:p>
        </w:tc>
        <w:tc>
          <w:tcPr>
            <w:tcW w:w="1227" w:type="dxa"/>
            <w:vAlign w:val="center"/>
          </w:tcPr>
          <w:p w14:paraId="26C4AB73">
            <w:pPr>
              <w:pStyle w:val="150"/>
              <w:rPr>
                <w:sz w:val="18"/>
                <w:szCs w:val="18"/>
              </w:rPr>
            </w:pPr>
            <w:r>
              <w:rPr>
                <w:sz w:val="18"/>
                <w:szCs w:val="18"/>
              </w:rPr>
              <w:t>1</w:t>
            </w:r>
          </w:p>
        </w:tc>
      </w:tr>
      <w:tr w14:paraId="626F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1F58B6EF">
            <w:pPr>
              <w:pStyle w:val="150"/>
              <w:jc w:val="left"/>
              <w:rPr>
                <w:sz w:val="18"/>
                <w:szCs w:val="18"/>
              </w:rPr>
            </w:pPr>
            <w:r>
              <w:rPr>
                <w:sz w:val="18"/>
                <w:szCs w:val="18"/>
              </w:rPr>
              <w:t>2.</w:t>
            </w:r>
          </w:p>
        </w:tc>
        <w:tc>
          <w:tcPr>
            <w:tcW w:w="4910" w:type="dxa"/>
            <w:vAlign w:val="center"/>
          </w:tcPr>
          <w:p w14:paraId="696013D8">
            <w:pPr>
              <w:pStyle w:val="150"/>
              <w:jc w:val="left"/>
              <w:rPr>
                <w:sz w:val="18"/>
                <w:szCs w:val="18"/>
              </w:rPr>
            </w:pPr>
            <w:r>
              <w:rPr>
                <w:sz w:val="18"/>
                <w:szCs w:val="18"/>
              </w:rPr>
              <w:t>(1.) Medicinska sestra/medicinski tehničar prvostupnik/ zdravstveni radnik prvostupnik u bolnici, u poliklinikama, primarnoj zdravstvenoj zaštiti i javnom zdravstvu, mobilnom palijativnom timu i djelatnosti hitne medicine 1</w:t>
            </w:r>
          </w:p>
          <w:p w14:paraId="296EA4C6">
            <w:pPr>
              <w:pStyle w:val="150"/>
              <w:jc w:val="left"/>
              <w:rPr>
                <w:sz w:val="18"/>
                <w:szCs w:val="18"/>
              </w:rPr>
            </w:pPr>
            <w:r>
              <w:rPr>
                <w:sz w:val="18"/>
                <w:szCs w:val="18"/>
              </w:rPr>
              <w:t>(2.) Medicinska sestra/ medicinski tehničar prvostupnik/ zdravstveni radnik prvostupnik u bolnici u poliklinikama, primarnoj zdravstvenoj zaštiti, javnom zdravstvu, zdravstvenoj njezi u kući, patronaži i stacionaru doma zdravlja 2</w:t>
            </w:r>
          </w:p>
        </w:tc>
        <w:tc>
          <w:tcPr>
            <w:tcW w:w="2268" w:type="dxa"/>
            <w:vAlign w:val="center"/>
          </w:tcPr>
          <w:p w14:paraId="14B41161">
            <w:pPr>
              <w:pStyle w:val="150"/>
              <w:jc w:val="left"/>
              <w:rPr>
                <w:spacing w:val="-6"/>
                <w:sz w:val="18"/>
                <w:szCs w:val="18"/>
              </w:rPr>
            </w:pPr>
            <w:r>
              <w:rPr>
                <w:spacing w:val="-6"/>
                <w:sz w:val="18"/>
                <w:szCs w:val="18"/>
              </w:rPr>
              <w:t>Prvostupnik medicinsko laboratorijske dijagnostike 1/2</w:t>
            </w:r>
          </w:p>
        </w:tc>
        <w:tc>
          <w:tcPr>
            <w:tcW w:w="1227" w:type="dxa"/>
            <w:vAlign w:val="center"/>
          </w:tcPr>
          <w:p w14:paraId="5B0B7AB9">
            <w:pPr>
              <w:pStyle w:val="150"/>
              <w:rPr>
                <w:sz w:val="18"/>
                <w:szCs w:val="18"/>
              </w:rPr>
            </w:pPr>
            <w:r>
              <w:rPr>
                <w:sz w:val="18"/>
                <w:szCs w:val="18"/>
              </w:rPr>
              <w:t>1</w:t>
            </w:r>
          </w:p>
        </w:tc>
      </w:tr>
      <w:tr w14:paraId="2794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79CF8DBC">
            <w:pPr>
              <w:pStyle w:val="150"/>
              <w:jc w:val="left"/>
              <w:rPr>
                <w:sz w:val="18"/>
                <w:szCs w:val="18"/>
              </w:rPr>
            </w:pPr>
            <w:r>
              <w:rPr>
                <w:sz w:val="18"/>
                <w:szCs w:val="18"/>
              </w:rPr>
              <w:t>3.</w:t>
            </w:r>
          </w:p>
        </w:tc>
        <w:tc>
          <w:tcPr>
            <w:tcW w:w="4910" w:type="dxa"/>
            <w:vAlign w:val="center"/>
          </w:tcPr>
          <w:p w14:paraId="126CD082">
            <w:pPr>
              <w:pStyle w:val="150"/>
              <w:jc w:val="left"/>
              <w:rPr>
                <w:sz w:val="18"/>
                <w:szCs w:val="18"/>
              </w:rPr>
            </w:pPr>
            <w:r>
              <w:rPr>
                <w:sz w:val="18"/>
                <w:szCs w:val="18"/>
              </w:rPr>
              <w:t>(1.) Medicinska sestra/medicinski tehničar/zdravstveni radnik u bolnici, u poliklinikama, primarnoj zdravstvenoj zaštiti i javnom zdravstvu i djelatnosti hitne medicine 1</w:t>
            </w:r>
          </w:p>
          <w:p w14:paraId="2A7D6234">
            <w:pPr>
              <w:pStyle w:val="150"/>
              <w:jc w:val="left"/>
              <w:rPr>
                <w:sz w:val="18"/>
                <w:szCs w:val="18"/>
              </w:rPr>
            </w:pPr>
            <w:r>
              <w:rPr>
                <w:sz w:val="18"/>
                <w:szCs w:val="18"/>
              </w:rPr>
              <w:t xml:space="preserve">(2.) </w:t>
            </w:r>
            <w:r>
              <w:rPr>
                <w:spacing w:val="-8"/>
                <w:sz w:val="18"/>
                <w:szCs w:val="18"/>
              </w:rPr>
              <w:t>Medicinska sestra/medicinski tehničar/zdravstveni radnik u bolnici, u poliklinikama, primarnoj zdravstvenoj zaštiti i javnom zdravstvu 2</w:t>
            </w:r>
          </w:p>
        </w:tc>
        <w:tc>
          <w:tcPr>
            <w:tcW w:w="2268" w:type="dxa"/>
            <w:vAlign w:val="center"/>
          </w:tcPr>
          <w:p w14:paraId="272D36F0">
            <w:pPr>
              <w:pStyle w:val="150"/>
              <w:jc w:val="left"/>
              <w:rPr>
                <w:sz w:val="18"/>
                <w:szCs w:val="18"/>
              </w:rPr>
            </w:pPr>
            <w:r>
              <w:rPr>
                <w:sz w:val="18"/>
                <w:szCs w:val="18"/>
              </w:rPr>
              <w:t>Laboratorijski tehničar 1/2</w:t>
            </w:r>
          </w:p>
        </w:tc>
        <w:tc>
          <w:tcPr>
            <w:tcW w:w="1227" w:type="dxa"/>
            <w:vAlign w:val="center"/>
          </w:tcPr>
          <w:p w14:paraId="0CA16B0F">
            <w:pPr>
              <w:pStyle w:val="150"/>
              <w:rPr>
                <w:sz w:val="18"/>
                <w:szCs w:val="18"/>
              </w:rPr>
            </w:pPr>
            <w:r>
              <w:rPr>
                <w:sz w:val="18"/>
                <w:szCs w:val="18"/>
              </w:rPr>
              <w:t>1</w:t>
            </w:r>
          </w:p>
        </w:tc>
      </w:tr>
      <w:tr w14:paraId="5923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1431F82B">
            <w:pPr>
              <w:pStyle w:val="150"/>
              <w:jc w:val="left"/>
              <w:rPr>
                <w:sz w:val="18"/>
                <w:szCs w:val="18"/>
              </w:rPr>
            </w:pPr>
            <w:r>
              <w:rPr>
                <w:sz w:val="18"/>
                <w:szCs w:val="18"/>
              </w:rPr>
              <w:t>4.</w:t>
            </w:r>
          </w:p>
        </w:tc>
        <w:tc>
          <w:tcPr>
            <w:tcW w:w="4910" w:type="dxa"/>
            <w:vAlign w:val="center"/>
          </w:tcPr>
          <w:p w14:paraId="5C0A43FD">
            <w:pPr>
              <w:pStyle w:val="150"/>
              <w:jc w:val="left"/>
              <w:rPr>
                <w:sz w:val="18"/>
                <w:szCs w:val="18"/>
              </w:rPr>
            </w:pPr>
            <w:r>
              <w:rPr>
                <w:sz w:val="18"/>
                <w:szCs w:val="18"/>
              </w:rPr>
              <w:t>Referent</w:t>
            </w:r>
          </w:p>
        </w:tc>
        <w:tc>
          <w:tcPr>
            <w:tcW w:w="2268" w:type="dxa"/>
            <w:vAlign w:val="center"/>
          </w:tcPr>
          <w:p w14:paraId="10DF2DDC">
            <w:pPr>
              <w:pStyle w:val="150"/>
              <w:jc w:val="left"/>
              <w:rPr>
                <w:sz w:val="18"/>
                <w:szCs w:val="18"/>
              </w:rPr>
            </w:pPr>
            <w:r>
              <w:rPr>
                <w:sz w:val="18"/>
                <w:szCs w:val="18"/>
              </w:rPr>
              <w:t> </w:t>
            </w:r>
          </w:p>
        </w:tc>
        <w:tc>
          <w:tcPr>
            <w:tcW w:w="1227" w:type="dxa"/>
            <w:vAlign w:val="center"/>
          </w:tcPr>
          <w:p w14:paraId="5CEF0871">
            <w:pPr>
              <w:pStyle w:val="150"/>
              <w:rPr>
                <w:sz w:val="18"/>
                <w:szCs w:val="18"/>
              </w:rPr>
            </w:pPr>
            <w:r>
              <w:rPr>
                <w:sz w:val="18"/>
                <w:szCs w:val="18"/>
              </w:rPr>
              <w:t>1</w:t>
            </w:r>
          </w:p>
        </w:tc>
      </w:tr>
      <w:tr w14:paraId="7A1E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4CB2A50E">
            <w:pPr>
              <w:pStyle w:val="150"/>
              <w:jc w:val="left"/>
              <w:rPr>
                <w:sz w:val="18"/>
                <w:szCs w:val="18"/>
              </w:rPr>
            </w:pPr>
            <w:r>
              <w:rPr>
                <w:sz w:val="18"/>
                <w:szCs w:val="18"/>
              </w:rPr>
              <w:t> </w:t>
            </w:r>
          </w:p>
        </w:tc>
        <w:tc>
          <w:tcPr>
            <w:tcW w:w="7178" w:type="dxa"/>
            <w:gridSpan w:val="2"/>
            <w:noWrap/>
            <w:vAlign w:val="center"/>
          </w:tcPr>
          <w:p w14:paraId="5FE95DE5">
            <w:pPr>
              <w:pStyle w:val="150"/>
              <w:jc w:val="left"/>
              <w:rPr>
                <w:i/>
                <w:iCs w:val="0"/>
                <w:sz w:val="18"/>
                <w:szCs w:val="18"/>
              </w:rPr>
            </w:pPr>
            <w:r>
              <w:rPr>
                <w:i/>
                <w:iCs w:val="0"/>
                <w:sz w:val="18"/>
                <w:szCs w:val="18"/>
              </w:rPr>
              <w:t>Služba za zdravstvenu ekologiju</w:t>
            </w:r>
          </w:p>
        </w:tc>
        <w:tc>
          <w:tcPr>
            <w:tcW w:w="1227" w:type="dxa"/>
            <w:vAlign w:val="center"/>
          </w:tcPr>
          <w:p w14:paraId="16C40C76">
            <w:pPr>
              <w:pStyle w:val="150"/>
              <w:rPr>
                <w:sz w:val="18"/>
                <w:szCs w:val="18"/>
              </w:rPr>
            </w:pPr>
            <w:r>
              <w:rPr>
                <w:sz w:val="18"/>
                <w:szCs w:val="18"/>
              </w:rPr>
              <w:t>6</w:t>
            </w:r>
          </w:p>
        </w:tc>
      </w:tr>
      <w:tr w14:paraId="031D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087BE784">
            <w:pPr>
              <w:pStyle w:val="150"/>
              <w:jc w:val="left"/>
              <w:rPr>
                <w:sz w:val="18"/>
                <w:szCs w:val="18"/>
              </w:rPr>
            </w:pPr>
            <w:r>
              <w:rPr>
                <w:sz w:val="18"/>
                <w:szCs w:val="18"/>
              </w:rPr>
              <w:t>1.</w:t>
            </w:r>
          </w:p>
        </w:tc>
        <w:tc>
          <w:tcPr>
            <w:tcW w:w="4910" w:type="dxa"/>
            <w:vAlign w:val="center"/>
          </w:tcPr>
          <w:p w14:paraId="459B30DD">
            <w:pPr>
              <w:pStyle w:val="150"/>
              <w:jc w:val="left"/>
              <w:rPr>
                <w:spacing w:val="-10"/>
                <w:sz w:val="18"/>
                <w:szCs w:val="18"/>
              </w:rPr>
            </w:pPr>
            <w:r>
              <w:rPr>
                <w:spacing w:val="-10"/>
                <w:sz w:val="18"/>
                <w:szCs w:val="18"/>
              </w:rPr>
              <w:t>(1.) Nezdravstveni radnik koji sudjeluje u procesu dijagnostike i liječenja 2</w:t>
            </w:r>
          </w:p>
          <w:p w14:paraId="146D61F0">
            <w:pPr>
              <w:pStyle w:val="150"/>
              <w:jc w:val="left"/>
              <w:rPr>
                <w:sz w:val="18"/>
                <w:szCs w:val="18"/>
              </w:rPr>
            </w:pPr>
            <w:r>
              <w:rPr>
                <w:sz w:val="18"/>
                <w:szCs w:val="18"/>
              </w:rPr>
              <w:t>(2.) Logoped, medicinski tehnolog, biotehnolog i biomedicinski inženjer, biolog u zdravstvu, molekularni biolog, psiholog, medicinski fizičar, fonetičar, nutricionist, defektolog/edukacijski rehabilitator/ socijalni pedagog, citogenetičar koji sudjeluje u procesu dijagnostike i liječenja 2</w:t>
            </w:r>
          </w:p>
        </w:tc>
        <w:tc>
          <w:tcPr>
            <w:tcW w:w="2268" w:type="dxa"/>
            <w:vAlign w:val="center"/>
          </w:tcPr>
          <w:p w14:paraId="4352E364">
            <w:pPr>
              <w:pStyle w:val="150"/>
              <w:jc w:val="left"/>
              <w:rPr>
                <w:spacing w:val="-12"/>
                <w:sz w:val="18"/>
                <w:szCs w:val="18"/>
              </w:rPr>
            </w:pPr>
            <w:r>
              <w:rPr>
                <w:spacing w:val="-12"/>
                <w:sz w:val="18"/>
                <w:szCs w:val="18"/>
              </w:rPr>
              <w:t>Biotehnolog, biolog u zdravstvu 2</w:t>
            </w:r>
          </w:p>
        </w:tc>
        <w:tc>
          <w:tcPr>
            <w:tcW w:w="1227" w:type="dxa"/>
            <w:vAlign w:val="center"/>
          </w:tcPr>
          <w:p w14:paraId="5DEA5DCD">
            <w:pPr>
              <w:pStyle w:val="150"/>
              <w:rPr>
                <w:sz w:val="18"/>
                <w:szCs w:val="18"/>
              </w:rPr>
            </w:pPr>
            <w:r>
              <w:rPr>
                <w:sz w:val="18"/>
                <w:szCs w:val="18"/>
              </w:rPr>
              <w:t>1</w:t>
            </w:r>
          </w:p>
        </w:tc>
      </w:tr>
      <w:tr w14:paraId="0C2E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18E8B65E">
            <w:pPr>
              <w:pStyle w:val="150"/>
              <w:jc w:val="left"/>
              <w:rPr>
                <w:sz w:val="18"/>
                <w:szCs w:val="18"/>
              </w:rPr>
            </w:pPr>
            <w:r>
              <w:rPr>
                <w:sz w:val="18"/>
                <w:szCs w:val="18"/>
              </w:rPr>
              <w:t>2.</w:t>
            </w:r>
          </w:p>
        </w:tc>
        <w:tc>
          <w:tcPr>
            <w:tcW w:w="4910" w:type="dxa"/>
            <w:vAlign w:val="center"/>
          </w:tcPr>
          <w:p w14:paraId="32A8E275">
            <w:pPr>
              <w:pStyle w:val="150"/>
              <w:jc w:val="left"/>
              <w:rPr>
                <w:spacing w:val="-6"/>
                <w:sz w:val="18"/>
                <w:szCs w:val="18"/>
              </w:rPr>
            </w:pPr>
            <w:r>
              <w:rPr>
                <w:spacing w:val="-6"/>
                <w:sz w:val="18"/>
                <w:szCs w:val="18"/>
              </w:rPr>
              <w:t>Nezdravstveni radnik koji sudjeluje u procesu dijagnostike i liječenja 2</w:t>
            </w:r>
          </w:p>
        </w:tc>
        <w:tc>
          <w:tcPr>
            <w:tcW w:w="2268" w:type="dxa"/>
            <w:vAlign w:val="center"/>
          </w:tcPr>
          <w:p w14:paraId="140476BA">
            <w:pPr>
              <w:pStyle w:val="150"/>
              <w:jc w:val="left"/>
              <w:rPr>
                <w:sz w:val="18"/>
                <w:szCs w:val="18"/>
              </w:rPr>
            </w:pPr>
            <w:r>
              <w:rPr>
                <w:sz w:val="18"/>
                <w:szCs w:val="18"/>
              </w:rPr>
              <w:t>Mag. strojarstva</w:t>
            </w:r>
          </w:p>
        </w:tc>
        <w:tc>
          <w:tcPr>
            <w:tcW w:w="1227" w:type="dxa"/>
            <w:vAlign w:val="center"/>
          </w:tcPr>
          <w:p w14:paraId="0A4B7758">
            <w:pPr>
              <w:pStyle w:val="150"/>
              <w:rPr>
                <w:sz w:val="18"/>
                <w:szCs w:val="18"/>
              </w:rPr>
            </w:pPr>
            <w:r>
              <w:rPr>
                <w:sz w:val="18"/>
                <w:szCs w:val="18"/>
              </w:rPr>
              <w:t>1</w:t>
            </w:r>
          </w:p>
        </w:tc>
      </w:tr>
      <w:tr w14:paraId="2715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6094EA1C">
            <w:pPr>
              <w:pStyle w:val="150"/>
              <w:jc w:val="left"/>
              <w:rPr>
                <w:sz w:val="18"/>
                <w:szCs w:val="18"/>
              </w:rPr>
            </w:pPr>
            <w:r>
              <w:rPr>
                <w:sz w:val="18"/>
                <w:szCs w:val="18"/>
              </w:rPr>
              <w:t>3.</w:t>
            </w:r>
          </w:p>
        </w:tc>
        <w:tc>
          <w:tcPr>
            <w:tcW w:w="4910" w:type="dxa"/>
            <w:vAlign w:val="center"/>
          </w:tcPr>
          <w:p w14:paraId="4BE621DE">
            <w:pPr>
              <w:pStyle w:val="150"/>
              <w:jc w:val="left"/>
              <w:rPr>
                <w:sz w:val="18"/>
                <w:szCs w:val="18"/>
              </w:rPr>
            </w:pPr>
            <w:r>
              <w:rPr>
                <w:sz w:val="18"/>
                <w:szCs w:val="18"/>
              </w:rPr>
              <w:t>Zdravstveni suradnik 2</w:t>
            </w:r>
          </w:p>
        </w:tc>
        <w:tc>
          <w:tcPr>
            <w:tcW w:w="2268" w:type="dxa"/>
            <w:vAlign w:val="center"/>
          </w:tcPr>
          <w:p w14:paraId="56AE187D">
            <w:pPr>
              <w:pStyle w:val="150"/>
              <w:jc w:val="left"/>
              <w:rPr>
                <w:sz w:val="18"/>
                <w:szCs w:val="18"/>
              </w:rPr>
            </w:pPr>
            <w:r>
              <w:rPr>
                <w:sz w:val="18"/>
                <w:szCs w:val="18"/>
              </w:rPr>
              <w:t> </w:t>
            </w:r>
          </w:p>
        </w:tc>
        <w:tc>
          <w:tcPr>
            <w:tcW w:w="1227" w:type="dxa"/>
            <w:vAlign w:val="center"/>
          </w:tcPr>
          <w:p w14:paraId="6FEE6141">
            <w:pPr>
              <w:pStyle w:val="150"/>
              <w:rPr>
                <w:sz w:val="18"/>
                <w:szCs w:val="18"/>
              </w:rPr>
            </w:pPr>
            <w:r>
              <w:rPr>
                <w:sz w:val="18"/>
                <w:szCs w:val="18"/>
              </w:rPr>
              <w:t>1</w:t>
            </w:r>
          </w:p>
        </w:tc>
      </w:tr>
      <w:tr w14:paraId="4061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0D27E502">
            <w:pPr>
              <w:pStyle w:val="150"/>
              <w:jc w:val="left"/>
              <w:rPr>
                <w:sz w:val="18"/>
                <w:szCs w:val="18"/>
              </w:rPr>
            </w:pPr>
            <w:r>
              <w:rPr>
                <w:sz w:val="18"/>
                <w:szCs w:val="18"/>
              </w:rPr>
              <w:t>4.</w:t>
            </w:r>
          </w:p>
        </w:tc>
        <w:tc>
          <w:tcPr>
            <w:tcW w:w="4910" w:type="dxa"/>
            <w:vAlign w:val="center"/>
          </w:tcPr>
          <w:p w14:paraId="4E8943DC">
            <w:pPr>
              <w:pStyle w:val="150"/>
              <w:jc w:val="left"/>
              <w:rPr>
                <w:spacing w:val="-6"/>
                <w:sz w:val="18"/>
                <w:szCs w:val="18"/>
              </w:rPr>
            </w:pPr>
            <w:r>
              <w:rPr>
                <w:spacing w:val="-6"/>
                <w:sz w:val="18"/>
                <w:szCs w:val="18"/>
              </w:rPr>
              <w:t>Medicinska sestra/medicinski tehničar/zdravstveni radnik u bolnici, u poliklinikama, primarnoj zdravstvenoj zaštiti i javnom zdravstvu – 2</w:t>
            </w:r>
          </w:p>
        </w:tc>
        <w:tc>
          <w:tcPr>
            <w:tcW w:w="2268" w:type="dxa"/>
            <w:vAlign w:val="center"/>
          </w:tcPr>
          <w:p w14:paraId="02FD295D">
            <w:pPr>
              <w:pStyle w:val="150"/>
              <w:jc w:val="left"/>
              <w:rPr>
                <w:sz w:val="18"/>
                <w:szCs w:val="18"/>
              </w:rPr>
            </w:pPr>
            <w:r>
              <w:rPr>
                <w:sz w:val="18"/>
                <w:szCs w:val="18"/>
              </w:rPr>
              <w:t>Sanit. teh./farmac. teh.</w:t>
            </w:r>
          </w:p>
        </w:tc>
        <w:tc>
          <w:tcPr>
            <w:tcW w:w="1227" w:type="dxa"/>
            <w:vAlign w:val="center"/>
          </w:tcPr>
          <w:p w14:paraId="4528917A">
            <w:pPr>
              <w:pStyle w:val="150"/>
              <w:rPr>
                <w:sz w:val="18"/>
                <w:szCs w:val="18"/>
              </w:rPr>
            </w:pPr>
            <w:r>
              <w:rPr>
                <w:sz w:val="18"/>
                <w:szCs w:val="18"/>
              </w:rPr>
              <w:t>3</w:t>
            </w:r>
          </w:p>
        </w:tc>
      </w:tr>
      <w:tr w14:paraId="2028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vAlign w:val="center"/>
          </w:tcPr>
          <w:p w14:paraId="0412F80A">
            <w:pPr>
              <w:pStyle w:val="150"/>
              <w:jc w:val="left"/>
              <w:rPr>
                <w:sz w:val="18"/>
                <w:szCs w:val="18"/>
              </w:rPr>
            </w:pPr>
            <w:r>
              <w:rPr>
                <w:sz w:val="18"/>
                <w:szCs w:val="18"/>
              </w:rPr>
              <w:t> </w:t>
            </w:r>
          </w:p>
        </w:tc>
        <w:tc>
          <w:tcPr>
            <w:tcW w:w="7178" w:type="dxa"/>
            <w:gridSpan w:val="2"/>
            <w:vAlign w:val="center"/>
          </w:tcPr>
          <w:p w14:paraId="44D6F938">
            <w:pPr>
              <w:pStyle w:val="150"/>
              <w:jc w:val="left"/>
              <w:rPr>
                <w:i/>
                <w:iCs w:val="0"/>
                <w:sz w:val="18"/>
                <w:szCs w:val="18"/>
              </w:rPr>
            </w:pPr>
            <w:r>
              <w:rPr>
                <w:i/>
                <w:iCs w:val="0"/>
                <w:sz w:val="18"/>
                <w:szCs w:val="18"/>
              </w:rPr>
              <w:t>Služba za javno zdravstvo</w:t>
            </w:r>
          </w:p>
        </w:tc>
        <w:tc>
          <w:tcPr>
            <w:tcW w:w="1227" w:type="dxa"/>
            <w:vAlign w:val="center"/>
          </w:tcPr>
          <w:p w14:paraId="0623A2C7">
            <w:pPr>
              <w:pStyle w:val="150"/>
              <w:rPr>
                <w:sz w:val="18"/>
                <w:szCs w:val="18"/>
              </w:rPr>
            </w:pPr>
            <w:r>
              <w:rPr>
                <w:sz w:val="18"/>
                <w:szCs w:val="18"/>
              </w:rPr>
              <w:t>1</w:t>
            </w:r>
          </w:p>
        </w:tc>
      </w:tr>
      <w:tr w14:paraId="0790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47FA59B9">
            <w:pPr>
              <w:pStyle w:val="150"/>
              <w:jc w:val="left"/>
              <w:rPr>
                <w:sz w:val="18"/>
                <w:szCs w:val="18"/>
              </w:rPr>
            </w:pPr>
            <w:r>
              <w:rPr>
                <w:sz w:val="18"/>
                <w:szCs w:val="18"/>
              </w:rPr>
              <w:t>1.</w:t>
            </w:r>
          </w:p>
        </w:tc>
        <w:tc>
          <w:tcPr>
            <w:tcW w:w="4910" w:type="dxa"/>
            <w:vAlign w:val="center"/>
          </w:tcPr>
          <w:p w14:paraId="46B3A34F">
            <w:pPr>
              <w:pStyle w:val="150"/>
              <w:jc w:val="left"/>
              <w:rPr>
                <w:sz w:val="18"/>
                <w:szCs w:val="18"/>
              </w:rPr>
            </w:pPr>
            <w:r>
              <w:rPr>
                <w:sz w:val="18"/>
                <w:szCs w:val="18"/>
              </w:rPr>
              <w:t>(1.) Doktor medicine specijalist i doktor dentalne medicine specijalist-specijalist savjetnik 3</w:t>
            </w:r>
          </w:p>
          <w:p w14:paraId="6A50D71C">
            <w:pPr>
              <w:pStyle w:val="150"/>
              <w:jc w:val="left"/>
              <w:rPr>
                <w:spacing w:val="-6"/>
                <w:sz w:val="18"/>
                <w:szCs w:val="18"/>
              </w:rPr>
            </w:pPr>
            <w:r>
              <w:rPr>
                <w:spacing w:val="-6"/>
                <w:sz w:val="18"/>
                <w:szCs w:val="18"/>
              </w:rPr>
              <w:t>(2.) Doktor medicine specijalist i doktor dentalne medicine specijalist 3</w:t>
            </w:r>
          </w:p>
        </w:tc>
        <w:tc>
          <w:tcPr>
            <w:tcW w:w="2268" w:type="dxa"/>
            <w:vAlign w:val="center"/>
          </w:tcPr>
          <w:p w14:paraId="3A594342">
            <w:pPr>
              <w:pStyle w:val="150"/>
              <w:jc w:val="left"/>
              <w:rPr>
                <w:sz w:val="18"/>
                <w:szCs w:val="18"/>
              </w:rPr>
            </w:pPr>
            <w:r>
              <w:rPr>
                <w:sz w:val="18"/>
                <w:szCs w:val="18"/>
              </w:rPr>
              <w:t> </w:t>
            </w:r>
          </w:p>
        </w:tc>
        <w:tc>
          <w:tcPr>
            <w:tcW w:w="1227" w:type="dxa"/>
            <w:vAlign w:val="center"/>
          </w:tcPr>
          <w:p w14:paraId="0D761F02">
            <w:pPr>
              <w:pStyle w:val="150"/>
              <w:rPr>
                <w:sz w:val="18"/>
                <w:szCs w:val="18"/>
              </w:rPr>
            </w:pPr>
            <w:r>
              <w:rPr>
                <w:sz w:val="18"/>
                <w:szCs w:val="18"/>
              </w:rPr>
              <w:t>1</w:t>
            </w:r>
          </w:p>
        </w:tc>
      </w:tr>
      <w:tr w14:paraId="2CDF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vAlign w:val="center"/>
          </w:tcPr>
          <w:p w14:paraId="4740731A">
            <w:pPr>
              <w:pStyle w:val="150"/>
              <w:jc w:val="left"/>
              <w:rPr>
                <w:sz w:val="18"/>
                <w:szCs w:val="18"/>
              </w:rPr>
            </w:pPr>
            <w:r>
              <w:rPr>
                <w:sz w:val="18"/>
                <w:szCs w:val="18"/>
              </w:rPr>
              <w:t> </w:t>
            </w:r>
          </w:p>
        </w:tc>
        <w:tc>
          <w:tcPr>
            <w:tcW w:w="7178" w:type="dxa"/>
            <w:gridSpan w:val="2"/>
            <w:noWrap/>
            <w:vAlign w:val="center"/>
          </w:tcPr>
          <w:p w14:paraId="402DCE83">
            <w:pPr>
              <w:pStyle w:val="150"/>
              <w:jc w:val="left"/>
              <w:rPr>
                <w:i/>
                <w:iCs w:val="0"/>
                <w:sz w:val="18"/>
                <w:szCs w:val="18"/>
              </w:rPr>
            </w:pPr>
            <w:r>
              <w:rPr>
                <w:i/>
                <w:iCs w:val="0"/>
                <w:sz w:val="18"/>
                <w:szCs w:val="18"/>
              </w:rPr>
              <w:t>Služba za školsku i adolescentnu medicinu</w:t>
            </w:r>
          </w:p>
        </w:tc>
        <w:tc>
          <w:tcPr>
            <w:tcW w:w="1227" w:type="dxa"/>
            <w:noWrap/>
            <w:vAlign w:val="center"/>
          </w:tcPr>
          <w:p w14:paraId="385841C5">
            <w:pPr>
              <w:pStyle w:val="150"/>
              <w:rPr>
                <w:sz w:val="18"/>
                <w:szCs w:val="18"/>
              </w:rPr>
            </w:pPr>
            <w:r>
              <w:rPr>
                <w:sz w:val="18"/>
                <w:szCs w:val="18"/>
              </w:rPr>
              <w:t>9</w:t>
            </w:r>
          </w:p>
        </w:tc>
      </w:tr>
      <w:tr w14:paraId="68D1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26E03F18">
            <w:pPr>
              <w:pStyle w:val="150"/>
              <w:jc w:val="left"/>
              <w:rPr>
                <w:sz w:val="18"/>
                <w:szCs w:val="18"/>
              </w:rPr>
            </w:pPr>
            <w:r>
              <w:rPr>
                <w:sz w:val="18"/>
                <w:szCs w:val="18"/>
              </w:rPr>
              <w:t>1.</w:t>
            </w:r>
          </w:p>
        </w:tc>
        <w:tc>
          <w:tcPr>
            <w:tcW w:w="4910" w:type="dxa"/>
            <w:vAlign w:val="center"/>
          </w:tcPr>
          <w:p w14:paraId="2DD85EBA">
            <w:pPr>
              <w:pStyle w:val="150"/>
              <w:jc w:val="left"/>
              <w:rPr>
                <w:sz w:val="18"/>
                <w:szCs w:val="18"/>
              </w:rPr>
            </w:pPr>
            <w:r>
              <w:rPr>
                <w:sz w:val="18"/>
                <w:szCs w:val="18"/>
              </w:rPr>
              <w:t>(1.) Doktor medicine specijalist i doktor dentalne medicine specijalist-specijalist savjetnik 2</w:t>
            </w:r>
          </w:p>
          <w:p w14:paraId="03E14860">
            <w:pPr>
              <w:pStyle w:val="150"/>
              <w:jc w:val="left"/>
              <w:rPr>
                <w:spacing w:val="-6"/>
                <w:sz w:val="18"/>
                <w:szCs w:val="18"/>
              </w:rPr>
            </w:pPr>
            <w:r>
              <w:rPr>
                <w:spacing w:val="-6"/>
                <w:sz w:val="18"/>
                <w:szCs w:val="18"/>
              </w:rPr>
              <w:t>(2.) Doktor medicine specijalist i doktor dentalne medicine specijalist 2</w:t>
            </w:r>
          </w:p>
        </w:tc>
        <w:tc>
          <w:tcPr>
            <w:tcW w:w="2268" w:type="dxa"/>
            <w:vAlign w:val="center"/>
          </w:tcPr>
          <w:p w14:paraId="74A23761">
            <w:pPr>
              <w:pStyle w:val="150"/>
              <w:jc w:val="left"/>
              <w:rPr>
                <w:sz w:val="18"/>
                <w:szCs w:val="18"/>
              </w:rPr>
            </w:pPr>
            <w:r>
              <w:rPr>
                <w:sz w:val="18"/>
                <w:szCs w:val="18"/>
              </w:rPr>
              <w:t> </w:t>
            </w:r>
          </w:p>
        </w:tc>
        <w:tc>
          <w:tcPr>
            <w:tcW w:w="1227" w:type="dxa"/>
            <w:vAlign w:val="center"/>
          </w:tcPr>
          <w:p w14:paraId="0E338066">
            <w:pPr>
              <w:pStyle w:val="150"/>
              <w:rPr>
                <w:sz w:val="18"/>
                <w:szCs w:val="18"/>
              </w:rPr>
            </w:pPr>
            <w:r>
              <w:rPr>
                <w:sz w:val="18"/>
                <w:szCs w:val="18"/>
              </w:rPr>
              <w:t>8</w:t>
            </w:r>
          </w:p>
        </w:tc>
      </w:tr>
      <w:tr w14:paraId="1731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4786805F">
            <w:pPr>
              <w:pStyle w:val="150"/>
              <w:jc w:val="left"/>
              <w:rPr>
                <w:sz w:val="18"/>
                <w:szCs w:val="18"/>
              </w:rPr>
            </w:pPr>
            <w:r>
              <w:rPr>
                <w:sz w:val="18"/>
                <w:szCs w:val="18"/>
              </w:rPr>
              <w:t>2.</w:t>
            </w:r>
          </w:p>
        </w:tc>
        <w:tc>
          <w:tcPr>
            <w:tcW w:w="4910" w:type="dxa"/>
            <w:vAlign w:val="center"/>
          </w:tcPr>
          <w:p w14:paraId="0DF798C0">
            <w:pPr>
              <w:pStyle w:val="150"/>
              <w:jc w:val="left"/>
              <w:rPr>
                <w:sz w:val="18"/>
                <w:szCs w:val="18"/>
              </w:rPr>
            </w:pPr>
            <w:r>
              <w:rPr>
                <w:sz w:val="18"/>
                <w:szCs w:val="18"/>
              </w:rPr>
              <w:t>Medicinska sestra/medicinski tehničar prvostupnik/ zdravstveni radnik prvostupnik u bolnici, u poliklinikama, primarnoj zdravstvenoj zaštiti, javnom zdravstvu, zdravstvenoj njezi u kući, patronaži i stacionaru doma zdravlja 2</w:t>
            </w:r>
          </w:p>
        </w:tc>
        <w:tc>
          <w:tcPr>
            <w:tcW w:w="2268" w:type="dxa"/>
            <w:vAlign w:val="center"/>
          </w:tcPr>
          <w:p w14:paraId="6EABC83A">
            <w:pPr>
              <w:pStyle w:val="150"/>
              <w:jc w:val="left"/>
              <w:rPr>
                <w:sz w:val="18"/>
                <w:szCs w:val="18"/>
              </w:rPr>
            </w:pPr>
            <w:r>
              <w:rPr>
                <w:sz w:val="18"/>
                <w:szCs w:val="18"/>
              </w:rPr>
              <w:t xml:space="preserve">Medicinska sestra / medicinski tehničar </w:t>
            </w:r>
            <w:r>
              <w:rPr>
                <w:sz w:val="18"/>
                <w:szCs w:val="18"/>
              </w:rPr>
              <w:br w:type="textWrapping"/>
            </w:r>
            <w:r>
              <w:rPr>
                <w:sz w:val="18"/>
                <w:szCs w:val="18"/>
              </w:rPr>
              <w:t>prvostupnik u javnom zdravstvu 2</w:t>
            </w:r>
          </w:p>
        </w:tc>
        <w:tc>
          <w:tcPr>
            <w:tcW w:w="1227" w:type="dxa"/>
            <w:vAlign w:val="center"/>
          </w:tcPr>
          <w:p w14:paraId="4F2D480A">
            <w:pPr>
              <w:pStyle w:val="150"/>
              <w:rPr>
                <w:sz w:val="18"/>
                <w:szCs w:val="18"/>
              </w:rPr>
            </w:pPr>
            <w:r>
              <w:rPr>
                <w:sz w:val="18"/>
                <w:szCs w:val="18"/>
              </w:rPr>
              <w:t>1</w:t>
            </w:r>
          </w:p>
        </w:tc>
      </w:tr>
      <w:tr w14:paraId="1CE9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vAlign w:val="center"/>
          </w:tcPr>
          <w:p w14:paraId="61520FDA">
            <w:pPr>
              <w:pStyle w:val="150"/>
              <w:jc w:val="left"/>
              <w:rPr>
                <w:sz w:val="18"/>
                <w:szCs w:val="18"/>
              </w:rPr>
            </w:pPr>
            <w:r>
              <w:rPr>
                <w:sz w:val="18"/>
                <w:szCs w:val="18"/>
              </w:rPr>
              <w:t> </w:t>
            </w:r>
          </w:p>
        </w:tc>
        <w:tc>
          <w:tcPr>
            <w:tcW w:w="7178" w:type="dxa"/>
            <w:gridSpan w:val="2"/>
            <w:noWrap/>
            <w:vAlign w:val="center"/>
          </w:tcPr>
          <w:p w14:paraId="6DD02C2D">
            <w:pPr>
              <w:pStyle w:val="150"/>
              <w:jc w:val="left"/>
              <w:rPr>
                <w:i/>
                <w:iCs w:val="0"/>
                <w:sz w:val="18"/>
                <w:szCs w:val="18"/>
              </w:rPr>
            </w:pPr>
            <w:r>
              <w:rPr>
                <w:i/>
                <w:iCs w:val="0"/>
                <w:sz w:val="18"/>
                <w:szCs w:val="18"/>
              </w:rPr>
              <w:t>Služba za ljudske potencijale i pravne poslove </w:t>
            </w:r>
          </w:p>
        </w:tc>
        <w:tc>
          <w:tcPr>
            <w:tcW w:w="1227" w:type="dxa"/>
            <w:vAlign w:val="center"/>
          </w:tcPr>
          <w:p w14:paraId="663BBDB2">
            <w:pPr>
              <w:pStyle w:val="150"/>
              <w:rPr>
                <w:sz w:val="18"/>
                <w:szCs w:val="18"/>
              </w:rPr>
            </w:pPr>
            <w:r>
              <w:rPr>
                <w:sz w:val="18"/>
                <w:szCs w:val="18"/>
              </w:rPr>
              <w:t>3</w:t>
            </w:r>
          </w:p>
        </w:tc>
      </w:tr>
      <w:tr w14:paraId="7049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3B375DDC">
            <w:pPr>
              <w:pStyle w:val="150"/>
              <w:jc w:val="left"/>
              <w:rPr>
                <w:sz w:val="18"/>
                <w:szCs w:val="18"/>
              </w:rPr>
            </w:pPr>
            <w:r>
              <w:rPr>
                <w:sz w:val="18"/>
                <w:szCs w:val="18"/>
              </w:rPr>
              <w:t>1.</w:t>
            </w:r>
          </w:p>
        </w:tc>
        <w:tc>
          <w:tcPr>
            <w:tcW w:w="4910" w:type="dxa"/>
            <w:vAlign w:val="center"/>
          </w:tcPr>
          <w:p w14:paraId="56189AC3">
            <w:pPr>
              <w:pStyle w:val="150"/>
              <w:jc w:val="left"/>
              <w:rPr>
                <w:sz w:val="18"/>
                <w:szCs w:val="18"/>
              </w:rPr>
            </w:pPr>
            <w:r>
              <w:rPr>
                <w:sz w:val="18"/>
                <w:szCs w:val="18"/>
              </w:rPr>
              <w:t>Viši savjetnik 1</w:t>
            </w:r>
            <w:r>
              <w:rPr>
                <w:sz w:val="18"/>
                <w:szCs w:val="18"/>
              </w:rPr>
              <w:br w:type="textWrapping"/>
            </w:r>
            <w:r>
              <w:rPr>
                <w:sz w:val="18"/>
                <w:szCs w:val="18"/>
              </w:rPr>
              <w:t>(Odjel za pravne poslove)</w:t>
            </w:r>
          </w:p>
        </w:tc>
        <w:tc>
          <w:tcPr>
            <w:tcW w:w="2268" w:type="dxa"/>
            <w:vAlign w:val="center"/>
          </w:tcPr>
          <w:p w14:paraId="08F5FC84">
            <w:pPr>
              <w:pStyle w:val="150"/>
              <w:jc w:val="left"/>
              <w:rPr>
                <w:sz w:val="18"/>
                <w:szCs w:val="18"/>
              </w:rPr>
            </w:pPr>
            <w:r>
              <w:rPr>
                <w:sz w:val="18"/>
                <w:szCs w:val="18"/>
              </w:rPr>
              <w:t>(za pravne poslove)</w:t>
            </w:r>
          </w:p>
        </w:tc>
        <w:tc>
          <w:tcPr>
            <w:tcW w:w="1227" w:type="dxa"/>
            <w:vAlign w:val="center"/>
          </w:tcPr>
          <w:p w14:paraId="5FE506FA">
            <w:pPr>
              <w:pStyle w:val="150"/>
              <w:rPr>
                <w:sz w:val="18"/>
                <w:szCs w:val="18"/>
              </w:rPr>
            </w:pPr>
            <w:r>
              <w:rPr>
                <w:sz w:val="18"/>
                <w:szCs w:val="18"/>
              </w:rPr>
              <w:t>1</w:t>
            </w:r>
          </w:p>
        </w:tc>
      </w:tr>
      <w:tr w14:paraId="442F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528F1CE5">
            <w:pPr>
              <w:pStyle w:val="150"/>
              <w:jc w:val="left"/>
              <w:rPr>
                <w:sz w:val="18"/>
                <w:szCs w:val="18"/>
              </w:rPr>
            </w:pPr>
            <w:r>
              <w:rPr>
                <w:sz w:val="18"/>
                <w:szCs w:val="18"/>
              </w:rPr>
              <w:t>2.</w:t>
            </w:r>
          </w:p>
        </w:tc>
        <w:tc>
          <w:tcPr>
            <w:tcW w:w="4910" w:type="dxa"/>
            <w:vAlign w:val="center"/>
          </w:tcPr>
          <w:p w14:paraId="57546F9B">
            <w:pPr>
              <w:pStyle w:val="150"/>
              <w:jc w:val="left"/>
              <w:rPr>
                <w:sz w:val="18"/>
                <w:szCs w:val="18"/>
              </w:rPr>
            </w:pPr>
            <w:r>
              <w:rPr>
                <w:sz w:val="18"/>
                <w:szCs w:val="18"/>
              </w:rPr>
              <w:t>Suradnik</w:t>
            </w:r>
            <w:r>
              <w:rPr>
                <w:sz w:val="18"/>
                <w:szCs w:val="18"/>
              </w:rPr>
              <w:br w:type="textWrapping"/>
            </w:r>
            <w:r>
              <w:rPr>
                <w:sz w:val="18"/>
                <w:szCs w:val="18"/>
              </w:rPr>
              <w:t>(Odjel za pravne poslove)</w:t>
            </w:r>
          </w:p>
        </w:tc>
        <w:tc>
          <w:tcPr>
            <w:tcW w:w="2268" w:type="dxa"/>
            <w:vAlign w:val="center"/>
          </w:tcPr>
          <w:p w14:paraId="5D4A7528">
            <w:pPr>
              <w:pStyle w:val="150"/>
              <w:jc w:val="left"/>
              <w:rPr>
                <w:sz w:val="18"/>
                <w:szCs w:val="18"/>
              </w:rPr>
            </w:pPr>
            <w:r>
              <w:rPr>
                <w:sz w:val="18"/>
                <w:szCs w:val="18"/>
              </w:rPr>
              <w:t> </w:t>
            </w:r>
          </w:p>
        </w:tc>
        <w:tc>
          <w:tcPr>
            <w:tcW w:w="1227" w:type="dxa"/>
            <w:vAlign w:val="center"/>
          </w:tcPr>
          <w:p w14:paraId="0C7D764C">
            <w:pPr>
              <w:pStyle w:val="150"/>
              <w:rPr>
                <w:sz w:val="18"/>
                <w:szCs w:val="18"/>
              </w:rPr>
            </w:pPr>
            <w:r>
              <w:rPr>
                <w:sz w:val="18"/>
                <w:szCs w:val="18"/>
              </w:rPr>
              <w:t>1</w:t>
            </w:r>
          </w:p>
        </w:tc>
      </w:tr>
      <w:tr w14:paraId="50DF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7E478542">
            <w:pPr>
              <w:pStyle w:val="150"/>
              <w:jc w:val="left"/>
              <w:rPr>
                <w:sz w:val="18"/>
                <w:szCs w:val="18"/>
              </w:rPr>
            </w:pPr>
            <w:r>
              <w:rPr>
                <w:sz w:val="18"/>
                <w:szCs w:val="18"/>
              </w:rPr>
              <w:t>3.</w:t>
            </w:r>
          </w:p>
        </w:tc>
        <w:tc>
          <w:tcPr>
            <w:tcW w:w="4910" w:type="dxa"/>
            <w:vAlign w:val="center"/>
          </w:tcPr>
          <w:p w14:paraId="18D020BA">
            <w:pPr>
              <w:pStyle w:val="150"/>
              <w:jc w:val="left"/>
              <w:rPr>
                <w:sz w:val="18"/>
                <w:szCs w:val="18"/>
              </w:rPr>
            </w:pPr>
            <w:r>
              <w:rPr>
                <w:sz w:val="18"/>
                <w:szCs w:val="18"/>
              </w:rPr>
              <w:t>Referent</w:t>
            </w:r>
            <w:r>
              <w:rPr>
                <w:sz w:val="18"/>
                <w:szCs w:val="18"/>
              </w:rPr>
              <w:br w:type="textWrapping"/>
            </w:r>
            <w:r>
              <w:rPr>
                <w:sz w:val="18"/>
                <w:szCs w:val="18"/>
              </w:rPr>
              <w:t>(Odjel za ljudske potencijale)</w:t>
            </w:r>
          </w:p>
        </w:tc>
        <w:tc>
          <w:tcPr>
            <w:tcW w:w="2268" w:type="dxa"/>
            <w:vAlign w:val="center"/>
          </w:tcPr>
          <w:p w14:paraId="03843AD8">
            <w:pPr>
              <w:pStyle w:val="150"/>
              <w:jc w:val="left"/>
              <w:rPr>
                <w:sz w:val="18"/>
                <w:szCs w:val="18"/>
              </w:rPr>
            </w:pPr>
            <w:r>
              <w:rPr>
                <w:sz w:val="18"/>
                <w:szCs w:val="18"/>
              </w:rPr>
              <w:t> </w:t>
            </w:r>
          </w:p>
        </w:tc>
        <w:tc>
          <w:tcPr>
            <w:tcW w:w="1227" w:type="dxa"/>
            <w:vAlign w:val="center"/>
          </w:tcPr>
          <w:p w14:paraId="02D21796">
            <w:pPr>
              <w:pStyle w:val="150"/>
              <w:rPr>
                <w:sz w:val="18"/>
                <w:szCs w:val="18"/>
              </w:rPr>
            </w:pPr>
            <w:r>
              <w:rPr>
                <w:sz w:val="18"/>
                <w:szCs w:val="18"/>
              </w:rPr>
              <w:t>1</w:t>
            </w:r>
          </w:p>
        </w:tc>
      </w:tr>
      <w:tr w14:paraId="546B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29882FED">
            <w:pPr>
              <w:pStyle w:val="150"/>
              <w:jc w:val="left"/>
              <w:rPr>
                <w:sz w:val="18"/>
                <w:szCs w:val="18"/>
              </w:rPr>
            </w:pPr>
            <w:r>
              <w:rPr>
                <w:sz w:val="18"/>
                <w:szCs w:val="18"/>
              </w:rPr>
              <w:t> </w:t>
            </w:r>
          </w:p>
        </w:tc>
        <w:tc>
          <w:tcPr>
            <w:tcW w:w="7178" w:type="dxa"/>
            <w:gridSpan w:val="2"/>
            <w:noWrap/>
            <w:vAlign w:val="center"/>
          </w:tcPr>
          <w:p w14:paraId="5F61ADAE">
            <w:pPr>
              <w:pStyle w:val="150"/>
              <w:jc w:val="left"/>
              <w:rPr>
                <w:i/>
                <w:iCs w:val="0"/>
                <w:sz w:val="18"/>
                <w:szCs w:val="18"/>
              </w:rPr>
            </w:pPr>
            <w:r>
              <w:rPr>
                <w:i/>
                <w:iCs w:val="0"/>
                <w:sz w:val="18"/>
                <w:szCs w:val="18"/>
              </w:rPr>
              <w:t>Služba za informatiku, sigurnost i tehničke poslove </w:t>
            </w:r>
          </w:p>
        </w:tc>
        <w:tc>
          <w:tcPr>
            <w:tcW w:w="1227" w:type="dxa"/>
            <w:noWrap/>
            <w:vAlign w:val="center"/>
          </w:tcPr>
          <w:p w14:paraId="4150D0EA">
            <w:pPr>
              <w:pStyle w:val="150"/>
              <w:rPr>
                <w:sz w:val="18"/>
                <w:szCs w:val="18"/>
              </w:rPr>
            </w:pPr>
            <w:r>
              <w:rPr>
                <w:sz w:val="18"/>
                <w:szCs w:val="18"/>
              </w:rPr>
              <w:t>4</w:t>
            </w:r>
          </w:p>
        </w:tc>
      </w:tr>
      <w:tr w14:paraId="2522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3B0CA03A">
            <w:pPr>
              <w:pStyle w:val="150"/>
              <w:jc w:val="left"/>
              <w:rPr>
                <w:sz w:val="18"/>
                <w:szCs w:val="18"/>
              </w:rPr>
            </w:pPr>
            <w:r>
              <w:rPr>
                <w:sz w:val="18"/>
                <w:szCs w:val="18"/>
              </w:rPr>
              <w:t>1.</w:t>
            </w:r>
          </w:p>
        </w:tc>
        <w:tc>
          <w:tcPr>
            <w:tcW w:w="4910" w:type="dxa"/>
            <w:vAlign w:val="center"/>
          </w:tcPr>
          <w:p w14:paraId="6E6BAF41">
            <w:pPr>
              <w:pStyle w:val="150"/>
              <w:jc w:val="left"/>
              <w:rPr>
                <w:sz w:val="18"/>
                <w:szCs w:val="18"/>
              </w:rPr>
            </w:pPr>
            <w:r>
              <w:rPr>
                <w:sz w:val="18"/>
                <w:szCs w:val="18"/>
              </w:rPr>
              <w:t>Informatički savjetnik</w:t>
            </w:r>
          </w:p>
        </w:tc>
        <w:tc>
          <w:tcPr>
            <w:tcW w:w="2268" w:type="dxa"/>
            <w:vAlign w:val="center"/>
          </w:tcPr>
          <w:p w14:paraId="342F36D1">
            <w:pPr>
              <w:pStyle w:val="150"/>
              <w:jc w:val="left"/>
              <w:rPr>
                <w:sz w:val="18"/>
                <w:szCs w:val="18"/>
              </w:rPr>
            </w:pPr>
            <w:r>
              <w:rPr>
                <w:sz w:val="18"/>
                <w:szCs w:val="18"/>
              </w:rPr>
              <w:t> </w:t>
            </w:r>
          </w:p>
        </w:tc>
        <w:tc>
          <w:tcPr>
            <w:tcW w:w="1227" w:type="dxa"/>
            <w:vAlign w:val="center"/>
          </w:tcPr>
          <w:p w14:paraId="1256C07A">
            <w:pPr>
              <w:pStyle w:val="150"/>
              <w:rPr>
                <w:sz w:val="18"/>
                <w:szCs w:val="18"/>
              </w:rPr>
            </w:pPr>
            <w:r>
              <w:rPr>
                <w:sz w:val="18"/>
                <w:szCs w:val="18"/>
              </w:rPr>
              <w:t>1</w:t>
            </w:r>
          </w:p>
        </w:tc>
      </w:tr>
      <w:tr w14:paraId="5F02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420F6153">
            <w:pPr>
              <w:pStyle w:val="150"/>
              <w:jc w:val="left"/>
              <w:rPr>
                <w:sz w:val="18"/>
                <w:szCs w:val="18"/>
              </w:rPr>
            </w:pPr>
            <w:r>
              <w:rPr>
                <w:sz w:val="18"/>
                <w:szCs w:val="18"/>
              </w:rPr>
              <w:t>2.</w:t>
            </w:r>
          </w:p>
        </w:tc>
        <w:tc>
          <w:tcPr>
            <w:tcW w:w="4910" w:type="dxa"/>
            <w:vAlign w:val="center"/>
          </w:tcPr>
          <w:p w14:paraId="63157349">
            <w:pPr>
              <w:pStyle w:val="150"/>
              <w:jc w:val="left"/>
              <w:rPr>
                <w:sz w:val="18"/>
                <w:szCs w:val="18"/>
              </w:rPr>
            </w:pPr>
            <w:r>
              <w:rPr>
                <w:sz w:val="18"/>
                <w:szCs w:val="18"/>
              </w:rPr>
              <w:t>Vozač sanitetskog prijevoza</w:t>
            </w:r>
          </w:p>
        </w:tc>
        <w:tc>
          <w:tcPr>
            <w:tcW w:w="2268" w:type="dxa"/>
            <w:vAlign w:val="center"/>
          </w:tcPr>
          <w:p w14:paraId="48F491F5">
            <w:pPr>
              <w:pStyle w:val="150"/>
              <w:jc w:val="left"/>
              <w:rPr>
                <w:sz w:val="18"/>
                <w:szCs w:val="18"/>
              </w:rPr>
            </w:pPr>
            <w:r>
              <w:rPr>
                <w:sz w:val="18"/>
                <w:szCs w:val="18"/>
              </w:rPr>
              <w:t>(Vozač –dostavljač)</w:t>
            </w:r>
          </w:p>
        </w:tc>
        <w:tc>
          <w:tcPr>
            <w:tcW w:w="1227" w:type="dxa"/>
            <w:vAlign w:val="center"/>
          </w:tcPr>
          <w:p w14:paraId="6990470F">
            <w:pPr>
              <w:pStyle w:val="150"/>
              <w:rPr>
                <w:sz w:val="18"/>
                <w:szCs w:val="18"/>
              </w:rPr>
            </w:pPr>
            <w:r>
              <w:rPr>
                <w:sz w:val="18"/>
                <w:szCs w:val="18"/>
              </w:rPr>
              <w:t>2</w:t>
            </w:r>
          </w:p>
        </w:tc>
      </w:tr>
      <w:tr w14:paraId="115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noWrap/>
            <w:vAlign w:val="center"/>
          </w:tcPr>
          <w:p w14:paraId="0DBA7406">
            <w:pPr>
              <w:pStyle w:val="150"/>
              <w:jc w:val="left"/>
              <w:rPr>
                <w:sz w:val="18"/>
                <w:szCs w:val="18"/>
              </w:rPr>
            </w:pPr>
            <w:r>
              <w:rPr>
                <w:sz w:val="18"/>
                <w:szCs w:val="18"/>
              </w:rPr>
              <w:t>3.</w:t>
            </w:r>
          </w:p>
        </w:tc>
        <w:tc>
          <w:tcPr>
            <w:tcW w:w="4910" w:type="dxa"/>
            <w:vAlign w:val="center"/>
          </w:tcPr>
          <w:p w14:paraId="4501B9C2">
            <w:pPr>
              <w:pStyle w:val="150"/>
              <w:jc w:val="left"/>
              <w:rPr>
                <w:sz w:val="18"/>
                <w:szCs w:val="18"/>
              </w:rPr>
            </w:pPr>
            <w:r>
              <w:rPr>
                <w:sz w:val="18"/>
                <w:szCs w:val="18"/>
              </w:rPr>
              <w:t>Stručni radnik na tehničkom održavanju</w:t>
            </w:r>
          </w:p>
        </w:tc>
        <w:tc>
          <w:tcPr>
            <w:tcW w:w="2268" w:type="dxa"/>
            <w:vAlign w:val="center"/>
          </w:tcPr>
          <w:p w14:paraId="6E402E6D">
            <w:pPr>
              <w:pStyle w:val="150"/>
              <w:jc w:val="left"/>
              <w:rPr>
                <w:sz w:val="18"/>
                <w:szCs w:val="18"/>
              </w:rPr>
            </w:pPr>
            <w:r>
              <w:rPr>
                <w:sz w:val="18"/>
                <w:szCs w:val="18"/>
              </w:rPr>
              <w:t>(Kotlovničar)</w:t>
            </w:r>
          </w:p>
        </w:tc>
        <w:tc>
          <w:tcPr>
            <w:tcW w:w="1227" w:type="dxa"/>
            <w:vAlign w:val="center"/>
          </w:tcPr>
          <w:p w14:paraId="2F41FB78">
            <w:pPr>
              <w:pStyle w:val="150"/>
              <w:rPr>
                <w:sz w:val="18"/>
                <w:szCs w:val="18"/>
              </w:rPr>
            </w:pPr>
            <w:r>
              <w:rPr>
                <w:sz w:val="18"/>
                <w:szCs w:val="18"/>
              </w:rPr>
              <w:t>1</w:t>
            </w:r>
          </w:p>
        </w:tc>
      </w:tr>
      <w:tr w14:paraId="6918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vAlign w:val="center"/>
          </w:tcPr>
          <w:p w14:paraId="1A65DD8A">
            <w:pPr>
              <w:pStyle w:val="150"/>
              <w:jc w:val="left"/>
              <w:rPr>
                <w:sz w:val="18"/>
                <w:szCs w:val="18"/>
              </w:rPr>
            </w:pPr>
            <w:r>
              <w:rPr>
                <w:sz w:val="18"/>
                <w:szCs w:val="18"/>
              </w:rPr>
              <w:t> </w:t>
            </w:r>
          </w:p>
        </w:tc>
        <w:tc>
          <w:tcPr>
            <w:tcW w:w="7178" w:type="dxa"/>
            <w:gridSpan w:val="2"/>
            <w:vAlign w:val="center"/>
          </w:tcPr>
          <w:p w14:paraId="3E7455D3">
            <w:pPr>
              <w:pStyle w:val="150"/>
              <w:jc w:val="left"/>
              <w:rPr>
                <w:i/>
                <w:iCs w:val="0"/>
                <w:sz w:val="18"/>
                <w:szCs w:val="18"/>
              </w:rPr>
            </w:pPr>
            <w:r>
              <w:rPr>
                <w:i/>
                <w:iCs w:val="0"/>
                <w:sz w:val="18"/>
                <w:szCs w:val="18"/>
              </w:rPr>
              <w:t>ostala radna mjesta</w:t>
            </w:r>
          </w:p>
        </w:tc>
        <w:tc>
          <w:tcPr>
            <w:tcW w:w="1227" w:type="dxa"/>
            <w:vAlign w:val="center"/>
          </w:tcPr>
          <w:p w14:paraId="100D4B8F">
            <w:pPr>
              <w:pStyle w:val="150"/>
              <w:rPr>
                <w:sz w:val="18"/>
                <w:szCs w:val="18"/>
              </w:rPr>
            </w:pPr>
            <w:r>
              <w:rPr>
                <w:sz w:val="18"/>
                <w:szCs w:val="18"/>
              </w:rPr>
              <w:t>5</w:t>
            </w:r>
          </w:p>
        </w:tc>
      </w:tr>
      <w:tr w14:paraId="0F39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5" w:type="dxa"/>
            <w:tcBorders>
              <w:bottom w:val="double" w:color="auto" w:sz="4" w:space="0"/>
            </w:tcBorders>
            <w:noWrap/>
            <w:vAlign w:val="center"/>
          </w:tcPr>
          <w:p w14:paraId="673AE723">
            <w:pPr>
              <w:pStyle w:val="150"/>
              <w:jc w:val="left"/>
              <w:rPr>
                <w:sz w:val="18"/>
                <w:szCs w:val="18"/>
              </w:rPr>
            </w:pPr>
            <w:r>
              <w:rPr>
                <w:sz w:val="18"/>
                <w:szCs w:val="18"/>
              </w:rPr>
              <w:t>1.</w:t>
            </w:r>
          </w:p>
        </w:tc>
        <w:tc>
          <w:tcPr>
            <w:tcW w:w="4910" w:type="dxa"/>
            <w:tcBorders>
              <w:bottom w:val="double" w:color="auto" w:sz="4" w:space="0"/>
            </w:tcBorders>
            <w:vAlign w:val="center"/>
          </w:tcPr>
          <w:p w14:paraId="59C22558">
            <w:pPr>
              <w:pStyle w:val="150"/>
              <w:jc w:val="left"/>
              <w:rPr>
                <w:sz w:val="18"/>
                <w:szCs w:val="18"/>
              </w:rPr>
            </w:pPr>
            <w:r>
              <w:rPr>
                <w:sz w:val="18"/>
                <w:szCs w:val="18"/>
              </w:rPr>
              <w:t>Doktor medicine i doktor dentalne medicine na specijalizaciji</w:t>
            </w:r>
          </w:p>
        </w:tc>
        <w:tc>
          <w:tcPr>
            <w:tcW w:w="2268" w:type="dxa"/>
            <w:tcBorders>
              <w:bottom w:val="double" w:color="auto" w:sz="4" w:space="0"/>
            </w:tcBorders>
            <w:vAlign w:val="center"/>
          </w:tcPr>
          <w:p w14:paraId="081F95F0">
            <w:pPr>
              <w:pStyle w:val="150"/>
              <w:jc w:val="left"/>
              <w:rPr>
                <w:sz w:val="18"/>
                <w:szCs w:val="18"/>
              </w:rPr>
            </w:pPr>
            <w:r>
              <w:rPr>
                <w:sz w:val="18"/>
                <w:szCs w:val="18"/>
              </w:rPr>
              <w:t> </w:t>
            </w:r>
          </w:p>
        </w:tc>
        <w:tc>
          <w:tcPr>
            <w:tcW w:w="1227" w:type="dxa"/>
            <w:tcBorders>
              <w:bottom w:val="double" w:color="auto" w:sz="4" w:space="0"/>
            </w:tcBorders>
            <w:vAlign w:val="center"/>
          </w:tcPr>
          <w:p w14:paraId="3EC7BA0E">
            <w:pPr>
              <w:pStyle w:val="150"/>
              <w:rPr>
                <w:sz w:val="18"/>
                <w:szCs w:val="18"/>
              </w:rPr>
            </w:pPr>
            <w:r>
              <w:rPr>
                <w:sz w:val="18"/>
                <w:szCs w:val="18"/>
              </w:rPr>
              <w:t>5</w:t>
            </w:r>
          </w:p>
        </w:tc>
      </w:tr>
      <w:tr w14:paraId="6E15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55" w:type="dxa"/>
            <w:tcBorders>
              <w:top w:val="double" w:color="auto" w:sz="4" w:space="0"/>
            </w:tcBorders>
            <w:vAlign w:val="center"/>
          </w:tcPr>
          <w:p w14:paraId="2D42C30C">
            <w:pPr>
              <w:pStyle w:val="150"/>
              <w:jc w:val="left"/>
              <w:rPr>
                <w:sz w:val="20"/>
                <w:szCs w:val="20"/>
              </w:rPr>
            </w:pPr>
            <w:r>
              <w:rPr>
                <w:sz w:val="20"/>
                <w:szCs w:val="20"/>
              </w:rPr>
              <w:t> </w:t>
            </w:r>
          </w:p>
        </w:tc>
        <w:tc>
          <w:tcPr>
            <w:tcW w:w="4910" w:type="dxa"/>
            <w:tcBorders>
              <w:top w:val="double" w:color="auto" w:sz="4" w:space="0"/>
            </w:tcBorders>
            <w:vAlign w:val="center"/>
          </w:tcPr>
          <w:p w14:paraId="75416644">
            <w:pPr>
              <w:pStyle w:val="150"/>
              <w:jc w:val="left"/>
              <w:rPr>
                <w:i/>
                <w:iCs w:val="0"/>
                <w:sz w:val="20"/>
                <w:szCs w:val="20"/>
              </w:rPr>
            </w:pPr>
            <w:r>
              <w:rPr>
                <w:i/>
                <w:iCs w:val="0"/>
                <w:sz w:val="20"/>
                <w:szCs w:val="20"/>
              </w:rPr>
              <w:t>Ukupno</w:t>
            </w:r>
          </w:p>
        </w:tc>
        <w:tc>
          <w:tcPr>
            <w:tcW w:w="2268" w:type="dxa"/>
            <w:tcBorders>
              <w:top w:val="double" w:color="auto" w:sz="4" w:space="0"/>
            </w:tcBorders>
            <w:vAlign w:val="center"/>
          </w:tcPr>
          <w:p w14:paraId="68FD46C5">
            <w:pPr>
              <w:pStyle w:val="150"/>
              <w:jc w:val="left"/>
              <w:rPr>
                <w:sz w:val="20"/>
                <w:szCs w:val="20"/>
              </w:rPr>
            </w:pPr>
            <w:r>
              <w:rPr>
                <w:sz w:val="20"/>
                <w:szCs w:val="20"/>
              </w:rPr>
              <w:t> </w:t>
            </w:r>
          </w:p>
        </w:tc>
        <w:tc>
          <w:tcPr>
            <w:tcW w:w="1227" w:type="dxa"/>
            <w:tcBorders>
              <w:top w:val="double" w:color="auto" w:sz="4" w:space="0"/>
            </w:tcBorders>
            <w:vAlign w:val="center"/>
          </w:tcPr>
          <w:p w14:paraId="5790EE5F">
            <w:pPr>
              <w:pStyle w:val="150"/>
              <w:rPr>
                <w:sz w:val="20"/>
                <w:szCs w:val="20"/>
              </w:rPr>
            </w:pPr>
            <w:r>
              <w:rPr>
                <w:sz w:val="20"/>
                <w:szCs w:val="20"/>
              </w:rPr>
              <w:t>39</w:t>
            </w:r>
          </w:p>
        </w:tc>
      </w:tr>
    </w:tbl>
    <w:p w14:paraId="72EA0AE4"/>
    <w:p w14:paraId="30B4F026">
      <w:r>
        <w:br w:type="page"/>
      </w:r>
    </w:p>
    <w:p w14:paraId="1C14CB62"/>
    <w:p w14:paraId="2F35C63A">
      <w:pPr>
        <w:pStyle w:val="2"/>
      </w:pPr>
      <w:bookmarkStart w:id="45" w:name="_Toc184821170"/>
      <w:r>
        <w:t>12. Plan informatizacije i digitalizacije</w:t>
      </w:r>
      <w:bookmarkEnd w:id="45"/>
    </w:p>
    <w:p w14:paraId="11664940"/>
    <w:p w14:paraId="5D9437E0">
      <w:r>
        <w:t>Sukladno Planu nabave, Zavod u 2025. godini planira, u svrhu poboljšanja poslovnih procesa, uložiti dio financijskih sredstava u poboljšanje mrežne sigurnosti te digitalizacije procesa evidentiranja radnog vremena kao i ostalih procesa uz radno vrijeme npr. izostanci, godišnji odmori i slično.</w:t>
      </w:r>
    </w:p>
    <w:p w14:paraId="420500BF">
      <w:r>
        <w:t>S obzirom na to da je zdravstvo u zadnje vrijeme na samom vrhu izloženosti kao meta kibernetičkih napada, potrebno je sustav zaštiti od takvih napada ali i samog korisnika na osobnim računalima. Planirani su sustavi za otkrivanje i odgovor na napade unutar Zavodske mreže kao što su krađa identiteta, vjerodostojnica, kretanje mrežom te promicanje proaktivne detekcije utemeljene na upadima kroz sve slojeve mreže. Poslovnim sustavima bi pružali zaštitu u stvarnom vremenu od nepoznatih prijetnji blokiranjem i analizom prijetnji te na taj način bi spriječili da se zlonamjerne datoteke prodru kroz našu obranu (vatrozid).</w:t>
      </w:r>
    </w:p>
    <w:p w14:paraId="255A76A7">
      <w:pPr>
        <w:rPr>
          <w:spacing w:val="-2"/>
        </w:rPr>
      </w:pPr>
      <w:r>
        <w:rPr>
          <w:spacing w:val="-2"/>
        </w:rPr>
        <w:t>Sprječavanje malicioznog prodiranja putem sustava e-pošte isto je tako važno kao i ostali segmenti zaštite mrežne infrastrukture pa bi tako implementacijom sustava koji se dodatno integrira s postojećim sustavom e-pošte pružili zaštitu od zlonamjernih sadržaja.</w:t>
      </w:r>
    </w:p>
    <w:p w14:paraId="3C560946">
      <w:pPr>
        <w:rPr>
          <w:spacing w:val="-4"/>
        </w:rPr>
      </w:pPr>
      <w:r>
        <w:rPr>
          <w:spacing w:val="-4"/>
        </w:rPr>
        <w:t xml:space="preserve">Istovremeno s unapređenjem infrastrukture mreže i sigurnosti, u planu je i digitalizacija poslovnoga procesa za evidenciju radnog vremena, što uključuje doradu postojećega programa u skladu sa zahtjevima Službe za pravne poslove, zamjenu neispravnih uređaja za evidenciju radnog vremena na vanjskim lokacijama, povezivanje programa za evidenciju radnog vremena s programom za plaće te ugovaranje servisa njegova održavanja koji uključuje i održavanje fizičkih uređaja za radnu evidenciju i rampe. Postići će se ukidanje papirnatih </w:t>
      </w:r>
      <w:r>
        <w:rPr>
          <w:i/>
          <w:iCs/>
          <w:spacing w:val="-4"/>
        </w:rPr>
        <w:t>zahtjeva radnika za godišnje odmore</w:t>
      </w:r>
      <w:r>
        <w:rPr>
          <w:spacing w:val="-4"/>
        </w:rPr>
        <w:t>, digitalno potpisivanje zahtjeva, jednostavnije praćenje radnoga vremena kao i lakši uvid u plan godišnjih odmora.</w:t>
      </w:r>
    </w:p>
    <w:p w14:paraId="50FB01B3"/>
    <w:sectPr>
      <w:footerReference r:id="rId10" w:type="default"/>
      <w:pgSz w:w="11906" w:h="16838"/>
      <w:pgMar w:top="1417" w:right="1417" w:bottom="1417" w:left="1417" w:header="708" w:footer="397"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Calibri Light">
    <w:panose1 w:val="020F0302020204030204"/>
    <w:charset w:val="EE"/>
    <w:family w:val="swiss"/>
    <w:pitch w:val="default"/>
    <w:sig w:usb0="E4002EFF" w:usb1="C000247B" w:usb2="00000009" w:usb3="00000000" w:csb0="200001FF" w:csb1="00000000"/>
  </w:font>
  <w:font w:name="HRTimes">
    <w:altName w:val="Times New Roman"/>
    <w:panose1 w:val="00000000000000000000"/>
    <w:charset w:val="00"/>
    <w:family w:val="auto"/>
    <w:pitch w:val="default"/>
    <w:sig w:usb0="00000000"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Times-NewRoman">
    <w:altName w:val="Times New Roman"/>
    <w:panose1 w:val="00000000000000000000"/>
    <w:charset w:val="EE"/>
    <w:family w:val="roman"/>
    <w:pitch w:val="default"/>
    <w:sig w:usb0="00000000" w:usb1="00000000" w:usb2="00000000" w:usb3="00000000" w:csb0="00000002" w:csb1="00000000"/>
  </w:font>
  <w:font w:name="Microsoft Sans Serif">
    <w:panose1 w:val="020B0604020202020204"/>
    <w:charset w:val="EE"/>
    <w:family w:val="swiss"/>
    <w:pitch w:val="default"/>
    <w:sig w:usb0="E5002EFF" w:usb1="C000605B" w:usb2="00000029" w:usb3="00000000" w:csb0="200101FF" w:csb1="2028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7C59">
    <w:pPr>
      <w:pStyle w:val="50"/>
      <w:jc w:val="right"/>
    </w:pPr>
    <w:r>
      <w:rPr>
        <w:sz w:val="24"/>
      </w:rPr>
      <w:fldChar w:fldCharType="begin"/>
    </w:r>
    <w:r>
      <w:rPr>
        <w:sz w:val="24"/>
      </w:rPr>
      <w:instrText xml:space="preserve">PAGE   \* MERGEFORMAT</w:instrText>
    </w:r>
    <w:r>
      <w:rPr>
        <w:sz w:val="24"/>
      </w:rPr>
      <w:fldChar w:fldCharType="separate"/>
    </w:r>
    <w:r>
      <w:rPr>
        <w:sz w:val="24"/>
      </w:rPr>
      <w:t>12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20E9">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2A25">
    <w:pPr>
      <w:pStyle w:val="50"/>
      <w:jc w:val="right"/>
    </w:pPr>
    <w:r>
      <w:rPr>
        <w:sz w:val="24"/>
      </w:rPr>
      <w:fldChar w:fldCharType="begin"/>
    </w:r>
    <w:r>
      <w:rPr>
        <w:sz w:val="24"/>
      </w:rPr>
      <w:instrText xml:space="preserve">PAGE   \* MERGEFORMAT</w:instrText>
    </w:r>
    <w:r>
      <w:rPr>
        <w:sz w:val="24"/>
      </w:rPr>
      <w:fldChar w:fldCharType="separate"/>
    </w:r>
    <w:r>
      <w:t>13</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162ED4D6">
      <w:pPr>
        <w:pStyle w:val="26"/>
      </w:pPr>
      <w:r>
        <w:rPr>
          <w:rStyle w:val="25"/>
        </w:rPr>
        <w:footnoteRef/>
      </w:r>
      <w:r>
        <w:t xml:space="preserve"> Godine 2025. predviđa se privremeno izmeštavanje s lokacije Remetinečki Gaj 14 radi konstrukcijske obnove zgrade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1055D">
    <w:pPr>
      <w:pStyle w:val="157"/>
      <w:tabs>
        <w:tab w:val="left" w:pos="7329"/>
        <w:tab w:val="clear" w:pos="4536"/>
        <w:tab w:val="clear" w:pos="9072"/>
      </w:tabs>
      <w:rPr>
        <w:color w:val="4472C4" w:themeColor="accent1"/>
        <w14:textFill>
          <w14:solidFill>
            <w14:schemeClr w14:val="accent1"/>
          </w14:solidFill>
        </w14:textFill>
      </w:rPr>
    </w:pPr>
    <w:r>
      <w:rPr>
        <w:color w:val="4472C4" w:themeColor="accent1"/>
        <w14:textFill>
          <w14:solidFill>
            <w14:schemeClr w14:val="accent1"/>
          </w14:solidFill>
        </w14:textFill>
      </w:rPr>
      <w:t>PROGRAM RADA I RAZVOJA ZA 2025. GODINU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0945">
    <w:pPr>
      <w:pStyle w:val="157"/>
      <w:tabs>
        <w:tab w:val="left" w:pos="7329"/>
        <w:tab w:val="clear" w:pos="4536"/>
        <w:tab w:val="clear" w:pos="9072"/>
      </w:tabs>
      <w:rPr>
        <w:color w:val="4472C4" w:themeColor="accent1"/>
        <w14:textFill>
          <w14:solidFill>
            <w14:schemeClr w14:val="accent1"/>
          </w14:solidFill>
        </w14:textFill>
      </w:rPr>
    </w:pPr>
    <w:r>
      <w:rPr>
        <w:color w:val="4472C4" w:themeColor="accent1"/>
        <w14:textFill>
          <w14:solidFill>
            <w14:schemeClr w14:val="accent1"/>
          </w14:solidFill>
        </w14:textFill>
      </w:rPr>
      <w:t>PROGRAM RADA I RAZVOJA ZA 2025. GODINU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BFD5">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2024D"/>
    <w:multiLevelType w:val="multilevel"/>
    <w:tmpl w:val="0052024D"/>
    <w:lvl w:ilvl="0" w:tentative="0">
      <w:start w:val="0"/>
      <w:numFmt w:val="bullet"/>
      <w:lvlText w:val="-"/>
      <w:lvlJc w:val="left"/>
      <w:pPr>
        <w:tabs>
          <w:tab w:val="left" w:pos="360"/>
        </w:tabs>
        <w:ind w:left="360" w:hanging="360"/>
      </w:pPr>
      <w:rPr>
        <w:rFonts w:hint="default" w:ascii="Calibri Light" w:hAnsi="Calibri Light" w:eastAsia="Times New Roman" w:cs="Calibri Light"/>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1">
    <w:nsid w:val="00864A64"/>
    <w:multiLevelType w:val="multilevel"/>
    <w:tmpl w:val="00864A64"/>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4E569B8"/>
    <w:multiLevelType w:val="multilevel"/>
    <w:tmpl w:val="04E569B8"/>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8E72865"/>
    <w:multiLevelType w:val="multilevel"/>
    <w:tmpl w:val="08E72865"/>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BE32606"/>
    <w:multiLevelType w:val="multilevel"/>
    <w:tmpl w:val="0BE3260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6A3E46"/>
    <w:multiLevelType w:val="multilevel"/>
    <w:tmpl w:val="0D6A3E46"/>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F9B5BA8"/>
    <w:multiLevelType w:val="multilevel"/>
    <w:tmpl w:val="0F9B5BA8"/>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0181713"/>
    <w:multiLevelType w:val="multilevel"/>
    <w:tmpl w:val="1018171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4914166"/>
    <w:multiLevelType w:val="multilevel"/>
    <w:tmpl w:val="14914166"/>
    <w:lvl w:ilvl="0" w:tentative="0">
      <w:start w:val="0"/>
      <w:numFmt w:val="bullet"/>
      <w:lvlText w:val="-"/>
      <w:lvlJc w:val="left"/>
      <w:pPr>
        <w:ind w:left="360" w:hanging="360"/>
      </w:pPr>
      <w:rPr>
        <w:rFonts w:hint="default" w:ascii="Calibri" w:hAnsi="Calibri" w:eastAsia="Times New Roman"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78D2099"/>
    <w:multiLevelType w:val="multilevel"/>
    <w:tmpl w:val="178D209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186178BD"/>
    <w:multiLevelType w:val="multilevel"/>
    <w:tmpl w:val="186178BD"/>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8D25DA2"/>
    <w:multiLevelType w:val="multilevel"/>
    <w:tmpl w:val="18D25DA2"/>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A0604E6"/>
    <w:multiLevelType w:val="multilevel"/>
    <w:tmpl w:val="1A0604E6"/>
    <w:lvl w:ilvl="0" w:tentative="0">
      <w:start w:val="1"/>
      <w:numFmt w:val="decimal"/>
      <w:pStyle w:val="52"/>
      <w:lvlText w:val="%1."/>
      <w:lvlJc w:val="left"/>
      <w:pPr>
        <w:ind w:left="1191" w:hanging="471"/>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1A3B02D4"/>
    <w:multiLevelType w:val="multilevel"/>
    <w:tmpl w:val="1A3B02D4"/>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AB12E32"/>
    <w:multiLevelType w:val="multilevel"/>
    <w:tmpl w:val="1AB12E3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CA77362"/>
    <w:multiLevelType w:val="multilevel"/>
    <w:tmpl w:val="1CA77362"/>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1EAE29EC"/>
    <w:multiLevelType w:val="multilevel"/>
    <w:tmpl w:val="1EAE29EC"/>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261176C"/>
    <w:multiLevelType w:val="multilevel"/>
    <w:tmpl w:val="2261176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23B16906"/>
    <w:multiLevelType w:val="multilevel"/>
    <w:tmpl w:val="23B16906"/>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244E7492"/>
    <w:multiLevelType w:val="multilevel"/>
    <w:tmpl w:val="244E7492"/>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68167E3"/>
    <w:multiLevelType w:val="multilevel"/>
    <w:tmpl w:val="268167E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26D565B4"/>
    <w:multiLevelType w:val="multilevel"/>
    <w:tmpl w:val="26D565B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27A81307"/>
    <w:multiLevelType w:val="multilevel"/>
    <w:tmpl w:val="27A81307"/>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965393C"/>
    <w:multiLevelType w:val="multilevel"/>
    <w:tmpl w:val="2965393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2BE93AD0"/>
    <w:multiLevelType w:val="multilevel"/>
    <w:tmpl w:val="2BE93A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0753D69"/>
    <w:multiLevelType w:val="multilevel"/>
    <w:tmpl w:val="30753D6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34600E2E"/>
    <w:multiLevelType w:val="multilevel"/>
    <w:tmpl w:val="34600E2E"/>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34F2606C"/>
    <w:multiLevelType w:val="multilevel"/>
    <w:tmpl w:val="34F2606C"/>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54E4255"/>
    <w:multiLevelType w:val="multilevel"/>
    <w:tmpl w:val="354E4255"/>
    <w:lvl w:ilvl="0" w:tentative="0">
      <w:start w:val="0"/>
      <w:numFmt w:val="bullet"/>
      <w:lvlText w:val="-"/>
      <w:lvlJc w:val="left"/>
      <w:pPr>
        <w:ind w:left="360" w:hanging="360"/>
      </w:pPr>
      <w:rPr>
        <w:rFonts w:hint="default" w:ascii="Calibri" w:hAnsi="Calibri" w:eastAsia="Times New Roman"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3DBF081B"/>
    <w:multiLevelType w:val="multilevel"/>
    <w:tmpl w:val="3DBF081B"/>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3DE95F00"/>
    <w:multiLevelType w:val="multilevel"/>
    <w:tmpl w:val="3DE95F00"/>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403B4CF1"/>
    <w:multiLevelType w:val="multilevel"/>
    <w:tmpl w:val="403B4CF1"/>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41B20925"/>
    <w:multiLevelType w:val="multilevel"/>
    <w:tmpl w:val="41B20925"/>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46D8068E"/>
    <w:multiLevelType w:val="multilevel"/>
    <w:tmpl w:val="46D806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8552224"/>
    <w:multiLevelType w:val="multilevel"/>
    <w:tmpl w:val="48552224"/>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48C20853"/>
    <w:multiLevelType w:val="multilevel"/>
    <w:tmpl w:val="48C20853"/>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4A143239"/>
    <w:multiLevelType w:val="multilevel"/>
    <w:tmpl w:val="4A143239"/>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4D2B1DBF"/>
    <w:multiLevelType w:val="multilevel"/>
    <w:tmpl w:val="4D2B1DB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8">
    <w:nsid w:val="4D3C4223"/>
    <w:multiLevelType w:val="multilevel"/>
    <w:tmpl w:val="4D3C422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52D2072B"/>
    <w:multiLevelType w:val="multilevel"/>
    <w:tmpl w:val="52D2072B"/>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53CC7817"/>
    <w:multiLevelType w:val="multilevel"/>
    <w:tmpl w:val="53CC78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3E12BBB"/>
    <w:multiLevelType w:val="multilevel"/>
    <w:tmpl w:val="53E12BBB"/>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5707D61"/>
    <w:multiLevelType w:val="multilevel"/>
    <w:tmpl w:val="55707D6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58A04787"/>
    <w:multiLevelType w:val="multilevel"/>
    <w:tmpl w:val="58A047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94460C1"/>
    <w:multiLevelType w:val="multilevel"/>
    <w:tmpl w:val="594460C1"/>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5CA856F1"/>
    <w:multiLevelType w:val="multilevel"/>
    <w:tmpl w:val="5CA856F1"/>
    <w:lvl w:ilvl="0" w:tentative="0">
      <w:start w:val="0"/>
      <w:numFmt w:val="bullet"/>
      <w:lvlText w:val="-"/>
      <w:lvlJc w:val="left"/>
      <w:pPr>
        <w:ind w:left="720" w:hanging="360"/>
      </w:pPr>
      <w:rPr>
        <w:rFonts w:hint="default" w:ascii="Calibri Light" w:hAnsi="Calibri Light" w:eastAsia="Times New Roman" w:cs="Calibri Ligh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DB95680"/>
    <w:multiLevelType w:val="multilevel"/>
    <w:tmpl w:val="5DB9568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7">
    <w:nsid w:val="5F190FC3"/>
    <w:multiLevelType w:val="multilevel"/>
    <w:tmpl w:val="5F190FC3"/>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8">
    <w:nsid w:val="60207DC6"/>
    <w:multiLevelType w:val="multilevel"/>
    <w:tmpl w:val="60207DC6"/>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62BF7BA8"/>
    <w:multiLevelType w:val="multilevel"/>
    <w:tmpl w:val="62BF7BA8"/>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A922EEB"/>
    <w:multiLevelType w:val="multilevel"/>
    <w:tmpl w:val="6A922EEB"/>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1">
    <w:nsid w:val="6C02657D"/>
    <w:multiLevelType w:val="multilevel"/>
    <w:tmpl w:val="6C02657D"/>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6C292F2F"/>
    <w:multiLevelType w:val="multilevel"/>
    <w:tmpl w:val="6C292F2F"/>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6ECF53E4"/>
    <w:multiLevelType w:val="multilevel"/>
    <w:tmpl w:val="6ECF53E4"/>
    <w:lvl w:ilvl="0" w:tentative="0">
      <w:start w:val="0"/>
      <w:numFmt w:val="bullet"/>
      <w:lvlText w:val="-"/>
      <w:lvlJc w:val="left"/>
      <w:pPr>
        <w:ind w:left="360" w:hanging="360"/>
      </w:pPr>
      <w:rPr>
        <w:rFonts w:hint="default" w:ascii="Calibri" w:hAnsi="Calibri" w:cs="Calibri"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72BB47E2"/>
    <w:multiLevelType w:val="multilevel"/>
    <w:tmpl w:val="72BB47E2"/>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73B23FAB"/>
    <w:multiLevelType w:val="multilevel"/>
    <w:tmpl w:val="73B23FAB"/>
    <w:lvl w:ilvl="0" w:tentative="0">
      <w:start w:val="0"/>
      <w:numFmt w:val="bullet"/>
      <w:lvlText w:val="-"/>
      <w:lvlJc w:val="left"/>
      <w:pPr>
        <w:tabs>
          <w:tab w:val="left" w:pos="360"/>
        </w:tabs>
        <w:ind w:left="360" w:hanging="360"/>
      </w:pPr>
      <w:rPr>
        <w:rFonts w:hint="default" w:ascii="Calibri Light" w:hAnsi="Calibri Light" w:eastAsia="Times New Roman" w:cs="Calibri Light"/>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56">
    <w:nsid w:val="753428AD"/>
    <w:multiLevelType w:val="multilevel"/>
    <w:tmpl w:val="753428AD"/>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7">
    <w:nsid w:val="75A62050"/>
    <w:multiLevelType w:val="multilevel"/>
    <w:tmpl w:val="75A62050"/>
    <w:lvl w:ilvl="0" w:tentative="0">
      <w:start w:val="0"/>
      <w:numFmt w:val="bullet"/>
      <w:lvlText w:val="-"/>
      <w:lvlJc w:val="left"/>
      <w:pPr>
        <w:ind w:left="360" w:hanging="360"/>
      </w:pPr>
      <w:rPr>
        <w:rFonts w:hint="default" w:ascii="Calibri Light" w:hAnsi="Calibri Light" w:eastAsia="Times New Roman" w:cs="Calibri Ligh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77FD75FB"/>
    <w:multiLevelType w:val="multilevel"/>
    <w:tmpl w:val="77FD75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7DF90BAB"/>
    <w:multiLevelType w:val="multilevel"/>
    <w:tmpl w:val="7DF90BAB"/>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2"/>
  </w:num>
  <w:num w:numId="2">
    <w:abstractNumId w:val="33"/>
  </w:num>
  <w:num w:numId="3">
    <w:abstractNumId w:val="24"/>
  </w:num>
  <w:num w:numId="4">
    <w:abstractNumId w:val="14"/>
  </w:num>
  <w:num w:numId="5">
    <w:abstractNumId w:val="15"/>
  </w:num>
  <w:num w:numId="6">
    <w:abstractNumId w:val="45"/>
  </w:num>
  <w:num w:numId="7">
    <w:abstractNumId w:val="8"/>
  </w:num>
  <w:num w:numId="8">
    <w:abstractNumId w:val="28"/>
  </w:num>
  <w:num w:numId="9">
    <w:abstractNumId w:val="48"/>
  </w:num>
  <w:num w:numId="10">
    <w:abstractNumId w:val="40"/>
  </w:num>
  <w:num w:numId="11">
    <w:abstractNumId w:val="43"/>
  </w:num>
  <w:num w:numId="12">
    <w:abstractNumId w:val="56"/>
  </w:num>
  <w:num w:numId="13">
    <w:abstractNumId w:val="3"/>
  </w:num>
  <w:num w:numId="14">
    <w:abstractNumId w:val="10"/>
  </w:num>
  <w:num w:numId="15">
    <w:abstractNumId w:val="1"/>
  </w:num>
  <w:num w:numId="16">
    <w:abstractNumId w:val="20"/>
  </w:num>
  <w:num w:numId="17">
    <w:abstractNumId w:val="9"/>
  </w:num>
  <w:num w:numId="18">
    <w:abstractNumId w:val="37"/>
  </w:num>
  <w:num w:numId="19">
    <w:abstractNumId w:val="23"/>
  </w:num>
  <w:num w:numId="20">
    <w:abstractNumId w:val="55"/>
  </w:num>
  <w:num w:numId="21">
    <w:abstractNumId w:val="0"/>
  </w:num>
  <w:num w:numId="22">
    <w:abstractNumId w:val="7"/>
  </w:num>
  <w:num w:numId="23">
    <w:abstractNumId w:val="19"/>
  </w:num>
  <w:num w:numId="24">
    <w:abstractNumId w:val="58"/>
  </w:num>
  <w:num w:numId="25">
    <w:abstractNumId w:val="59"/>
  </w:num>
  <w:num w:numId="26">
    <w:abstractNumId w:val="17"/>
  </w:num>
  <w:num w:numId="27">
    <w:abstractNumId w:val="16"/>
  </w:num>
  <w:num w:numId="28">
    <w:abstractNumId w:val="38"/>
  </w:num>
  <w:num w:numId="29">
    <w:abstractNumId w:val="13"/>
  </w:num>
  <w:num w:numId="30">
    <w:abstractNumId w:val="27"/>
  </w:num>
  <w:num w:numId="31">
    <w:abstractNumId w:val="34"/>
  </w:num>
  <w:num w:numId="32">
    <w:abstractNumId w:val="25"/>
  </w:num>
  <w:num w:numId="33">
    <w:abstractNumId w:val="42"/>
  </w:num>
  <w:num w:numId="34">
    <w:abstractNumId w:val="47"/>
  </w:num>
  <w:num w:numId="35">
    <w:abstractNumId w:val="50"/>
  </w:num>
  <w:num w:numId="36">
    <w:abstractNumId w:val="4"/>
  </w:num>
  <w:num w:numId="37">
    <w:abstractNumId w:val="54"/>
  </w:num>
  <w:num w:numId="38">
    <w:abstractNumId w:val="51"/>
  </w:num>
  <w:num w:numId="39">
    <w:abstractNumId w:val="46"/>
  </w:num>
  <w:num w:numId="40">
    <w:abstractNumId w:val="6"/>
  </w:num>
  <w:num w:numId="41">
    <w:abstractNumId w:val="39"/>
  </w:num>
  <w:num w:numId="42">
    <w:abstractNumId w:val="22"/>
  </w:num>
  <w:num w:numId="43">
    <w:abstractNumId w:val="57"/>
  </w:num>
  <w:num w:numId="44">
    <w:abstractNumId w:val="36"/>
  </w:num>
  <w:num w:numId="45">
    <w:abstractNumId w:val="35"/>
  </w:num>
  <w:num w:numId="46">
    <w:abstractNumId w:val="52"/>
  </w:num>
  <w:num w:numId="47">
    <w:abstractNumId w:val="11"/>
  </w:num>
  <w:num w:numId="48">
    <w:abstractNumId w:val="29"/>
  </w:num>
  <w:num w:numId="49">
    <w:abstractNumId w:val="21"/>
  </w:num>
  <w:num w:numId="50">
    <w:abstractNumId w:val="2"/>
  </w:num>
  <w:num w:numId="51">
    <w:abstractNumId w:val="31"/>
  </w:num>
  <w:num w:numId="52">
    <w:abstractNumId w:val="26"/>
  </w:num>
  <w:num w:numId="53">
    <w:abstractNumId w:val="5"/>
  </w:num>
  <w:num w:numId="54">
    <w:abstractNumId w:val="41"/>
  </w:num>
  <w:num w:numId="55">
    <w:abstractNumId w:val="30"/>
  </w:num>
  <w:num w:numId="56">
    <w:abstractNumId w:val="44"/>
  </w:num>
  <w:num w:numId="57">
    <w:abstractNumId w:val="49"/>
  </w:num>
  <w:num w:numId="58">
    <w:abstractNumId w:val="32"/>
  </w:num>
  <w:num w:numId="59">
    <w:abstractNumId w:val="53"/>
  </w:num>
  <w:num w:numId="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mirrorMargins w:val="1"/>
  <w:documentProtection w:enforcement="0"/>
  <w:defaultTabStop w:val="709"/>
  <w:hyphenationZone w:val="425"/>
  <w:evenAndOddHeaders w:val="1"/>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3E"/>
    <w:rsid w:val="00000B4E"/>
    <w:rsid w:val="000020B4"/>
    <w:rsid w:val="000026C3"/>
    <w:rsid w:val="00002937"/>
    <w:rsid w:val="00002F63"/>
    <w:rsid w:val="00003002"/>
    <w:rsid w:val="0000381F"/>
    <w:rsid w:val="000038FA"/>
    <w:rsid w:val="00003994"/>
    <w:rsid w:val="00003DFB"/>
    <w:rsid w:val="0000552E"/>
    <w:rsid w:val="00005B46"/>
    <w:rsid w:val="000066C0"/>
    <w:rsid w:val="00006C0C"/>
    <w:rsid w:val="00007029"/>
    <w:rsid w:val="0000733C"/>
    <w:rsid w:val="00007B4D"/>
    <w:rsid w:val="00010A45"/>
    <w:rsid w:val="000114A7"/>
    <w:rsid w:val="00011524"/>
    <w:rsid w:val="000115B4"/>
    <w:rsid w:val="000117CF"/>
    <w:rsid w:val="00011A5B"/>
    <w:rsid w:val="00011B45"/>
    <w:rsid w:val="00012561"/>
    <w:rsid w:val="000125FD"/>
    <w:rsid w:val="000126A6"/>
    <w:rsid w:val="000129FD"/>
    <w:rsid w:val="00012A09"/>
    <w:rsid w:val="00012D48"/>
    <w:rsid w:val="00012D7B"/>
    <w:rsid w:val="00013652"/>
    <w:rsid w:val="000136C5"/>
    <w:rsid w:val="00014453"/>
    <w:rsid w:val="00014765"/>
    <w:rsid w:val="00014FF2"/>
    <w:rsid w:val="000155F1"/>
    <w:rsid w:val="000161F2"/>
    <w:rsid w:val="0001623D"/>
    <w:rsid w:val="0001638C"/>
    <w:rsid w:val="00016655"/>
    <w:rsid w:val="0001665F"/>
    <w:rsid w:val="00016D65"/>
    <w:rsid w:val="00016F83"/>
    <w:rsid w:val="000172CA"/>
    <w:rsid w:val="000175D3"/>
    <w:rsid w:val="000177C7"/>
    <w:rsid w:val="00017AA0"/>
    <w:rsid w:val="00020402"/>
    <w:rsid w:val="000208D3"/>
    <w:rsid w:val="00020EE2"/>
    <w:rsid w:val="0002144A"/>
    <w:rsid w:val="00021E93"/>
    <w:rsid w:val="00022903"/>
    <w:rsid w:val="00022F7C"/>
    <w:rsid w:val="00023314"/>
    <w:rsid w:val="00023F61"/>
    <w:rsid w:val="00023F73"/>
    <w:rsid w:val="0002408F"/>
    <w:rsid w:val="00024219"/>
    <w:rsid w:val="000242B5"/>
    <w:rsid w:val="00024E06"/>
    <w:rsid w:val="00024F7B"/>
    <w:rsid w:val="000256C1"/>
    <w:rsid w:val="00025A7A"/>
    <w:rsid w:val="00025DC6"/>
    <w:rsid w:val="0002610D"/>
    <w:rsid w:val="000267A2"/>
    <w:rsid w:val="000269B6"/>
    <w:rsid w:val="00026B60"/>
    <w:rsid w:val="000275FA"/>
    <w:rsid w:val="000276BA"/>
    <w:rsid w:val="00030900"/>
    <w:rsid w:val="00030A01"/>
    <w:rsid w:val="00030A06"/>
    <w:rsid w:val="00030D35"/>
    <w:rsid w:val="00030E49"/>
    <w:rsid w:val="0003124E"/>
    <w:rsid w:val="00031E4E"/>
    <w:rsid w:val="00032F68"/>
    <w:rsid w:val="000335C6"/>
    <w:rsid w:val="000343B4"/>
    <w:rsid w:val="000345B4"/>
    <w:rsid w:val="00034CDC"/>
    <w:rsid w:val="00034F1D"/>
    <w:rsid w:val="00034F89"/>
    <w:rsid w:val="0003567A"/>
    <w:rsid w:val="000356F6"/>
    <w:rsid w:val="0003573B"/>
    <w:rsid w:val="00035BE1"/>
    <w:rsid w:val="00035E8D"/>
    <w:rsid w:val="00035F1B"/>
    <w:rsid w:val="00036226"/>
    <w:rsid w:val="00036E3C"/>
    <w:rsid w:val="00037161"/>
    <w:rsid w:val="00037791"/>
    <w:rsid w:val="00037A3F"/>
    <w:rsid w:val="00037E91"/>
    <w:rsid w:val="00037F1F"/>
    <w:rsid w:val="00040279"/>
    <w:rsid w:val="0004081C"/>
    <w:rsid w:val="0004084C"/>
    <w:rsid w:val="0004295A"/>
    <w:rsid w:val="0004299C"/>
    <w:rsid w:val="000439D1"/>
    <w:rsid w:val="00043FBB"/>
    <w:rsid w:val="00044736"/>
    <w:rsid w:val="00045473"/>
    <w:rsid w:val="00045601"/>
    <w:rsid w:val="0004579D"/>
    <w:rsid w:val="00045E8A"/>
    <w:rsid w:val="00046146"/>
    <w:rsid w:val="000464A0"/>
    <w:rsid w:val="00046A25"/>
    <w:rsid w:val="00046AE7"/>
    <w:rsid w:val="00046D65"/>
    <w:rsid w:val="00047440"/>
    <w:rsid w:val="000477ED"/>
    <w:rsid w:val="0004782B"/>
    <w:rsid w:val="00047B16"/>
    <w:rsid w:val="00047F71"/>
    <w:rsid w:val="0005051D"/>
    <w:rsid w:val="000509DA"/>
    <w:rsid w:val="00051452"/>
    <w:rsid w:val="000518C2"/>
    <w:rsid w:val="00051A29"/>
    <w:rsid w:val="00051C15"/>
    <w:rsid w:val="00051DD2"/>
    <w:rsid w:val="00051DED"/>
    <w:rsid w:val="00052501"/>
    <w:rsid w:val="00052F11"/>
    <w:rsid w:val="000536A3"/>
    <w:rsid w:val="000538C4"/>
    <w:rsid w:val="00053BCE"/>
    <w:rsid w:val="00053EAC"/>
    <w:rsid w:val="000560A3"/>
    <w:rsid w:val="00056148"/>
    <w:rsid w:val="000561D0"/>
    <w:rsid w:val="00057350"/>
    <w:rsid w:val="0005738E"/>
    <w:rsid w:val="00057576"/>
    <w:rsid w:val="0005771A"/>
    <w:rsid w:val="000579E0"/>
    <w:rsid w:val="00057A22"/>
    <w:rsid w:val="00060A20"/>
    <w:rsid w:val="00060CFA"/>
    <w:rsid w:val="00061024"/>
    <w:rsid w:val="00061342"/>
    <w:rsid w:val="00061C64"/>
    <w:rsid w:val="00062383"/>
    <w:rsid w:val="000624F7"/>
    <w:rsid w:val="00062F60"/>
    <w:rsid w:val="00063362"/>
    <w:rsid w:val="00063938"/>
    <w:rsid w:val="000639C4"/>
    <w:rsid w:val="00063BB4"/>
    <w:rsid w:val="00064DA4"/>
    <w:rsid w:val="00064F27"/>
    <w:rsid w:val="00065227"/>
    <w:rsid w:val="0006566F"/>
    <w:rsid w:val="00065707"/>
    <w:rsid w:val="00065A8F"/>
    <w:rsid w:val="00066324"/>
    <w:rsid w:val="000666FA"/>
    <w:rsid w:val="00066BED"/>
    <w:rsid w:val="00067025"/>
    <w:rsid w:val="000675F8"/>
    <w:rsid w:val="000676EB"/>
    <w:rsid w:val="0007015D"/>
    <w:rsid w:val="0007052E"/>
    <w:rsid w:val="00071182"/>
    <w:rsid w:val="00071215"/>
    <w:rsid w:val="0007226A"/>
    <w:rsid w:val="000722FC"/>
    <w:rsid w:val="00072573"/>
    <w:rsid w:val="0007274E"/>
    <w:rsid w:val="000727CE"/>
    <w:rsid w:val="00072D45"/>
    <w:rsid w:val="000734D2"/>
    <w:rsid w:val="000737B4"/>
    <w:rsid w:val="000738A9"/>
    <w:rsid w:val="00073A4C"/>
    <w:rsid w:val="00073E97"/>
    <w:rsid w:val="00073FC8"/>
    <w:rsid w:val="000746CA"/>
    <w:rsid w:val="00074899"/>
    <w:rsid w:val="00074B8D"/>
    <w:rsid w:val="0007511F"/>
    <w:rsid w:val="00075944"/>
    <w:rsid w:val="0007597D"/>
    <w:rsid w:val="000761C1"/>
    <w:rsid w:val="00076A7B"/>
    <w:rsid w:val="00076B2F"/>
    <w:rsid w:val="00076B78"/>
    <w:rsid w:val="00076DE8"/>
    <w:rsid w:val="00076E22"/>
    <w:rsid w:val="00077387"/>
    <w:rsid w:val="000806A7"/>
    <w:rsid w:val="00080B7C"/>
    <w:rsid w:val="00080FF5"/>
    <w:rsid w:val="00081985"/>
    <w:rsid w:val="00081BF9"/>
    <w:rsid w:val="00081F4F"/>
    <w:rsid w:val="00082211"/>
    <w:rsid w:val="00082589"/>
    <w:rsid w:val="000826C4"/>
    <w:rsid w:val="000826C7"/>
    <w:rsid w:val="000826EE"/>
    <w:rsid w:val="0008270F"/>
    <w:rsid w:val="00082A45"/>
    <w:rsid w:val="00082DB5"/>
    <w:rsid w:val="0008345A"/>
    <w:rsid w:val="00083A59"/>
    <w:rsid w:val="00084088"/>
    <w:rsid w:val="0008424D"/>
    <w:rsid w:val="00084399"/>
    <w:rsid w:val="0008444A"/>
    <w:rsid w:val="000844C4"/>
    <w:rsid w:val="00084719"/>
    <w:rsid w:val="0008482C"/>
    <w:rsid w:val="00084A4E"/>
    <w:rsid w:val="00085305"/>
    <w:rsid w:val="0008561B"/>
    <w:rsid w:val="0008588E"/>
    <w:rsid w:val="0008596B"/>
    <w:rsid w:val="00085F84"/>
    <w:rsid w:val="00086298"/>
    <w:rsid w:val="00086482"/>
    <w:rsid w:val="00086621"/>
    <w:rsid w:val="00086ACE"/>
    <w:rsid w:val="00086C23"/>
    <w:rsid w:val="00086D79"/>
    <w:rsid w:val="000871A4"/>
    <w:rsid w:val="000879FD"/>
    <w:rsid w:val="0009014E"/>
    <w:rsid w:val="00090456"/>
    <w:rsid w:val="00090DBB"/>
    <w:rsid w:val="000918C7"/>
    <w:rsid w:val="0009197F"/>
    <w:rsid w:val="00091F3C"/>
    <w:rsid w:val="00092260"/>
    <w:rsid w:val="000923B2"/>
    <w:rsid w:val="00092851"/>
    <w:rsid w:val="00092F3B"/>
    <w:rsid w:val="00092F5F"/>
    <w:rsid w:val="000939CA"/>
    <w:rsid w:val="00093DB8"/>
    <w:rsid w:val="00093E80"/>
    <w:rsid w:val="0009450E"/>
    <w:rsid w:val="0009483F"/>
    <w:rsid w:val="0009488D"/>
    <w:rsid w:val="000951F4"/>
    <w:rsid w:val="000952EC"/>
    <w:rsid w:val="000959B9"/>
    <w:rsid w:val="00095A4A"/>
    <w:rsid w:val="0009624A"/>
    <w:rsid w:val="000964AE"/>
    <w:rsid w:val="0009680C"/>
    <w:rsid w:val="00097181"/>
    <w:rsid w:val="00097332"/>
    <w:rsid w:val="000974A8"/>
    <w:rsid w:val="0009755E"/>
    <w:rsid w:val="00097B06"/>
    <w:rsid w:val="00097C52"/>
    <w:rsid w:val="00097E24"/>
    <w:rsid w:val="000A0288"/>
    <w:rsid w:val="000A037D"/>
    <w:rsid w:val="000A07A1"/>
    <w:rsid w:val="000A09AD"/>
    <w:rsid w:val="000A0CF9"/>
    <w:rsid w:val="000A1ADE"/>
    <w:rsid w:val="000A1B93"/>
    <w:rsid w:val="000A1BD2"/>
    <w:rsid w:val="000A2090"/>
    <w:rsid w:val="000A23B9"/>
    <w:rsid w:val="000A2534"/>
    <w:rsid w:val="000A27C1"/>
    <w:rsid w:val="000A2C2E"/>
    <w:rsid w:val="000A3280"/>
    <w:rsid w:val="000A32C4"/>
    <w:rsid w:val="000A3445"/>
    <w:rsid w:val="000A3672"/>
    <w:rsid w:val="000A3A99"/>
    <w:rsid w:val="000A3BED"/>
    <w:rsid w:val="000A4062"/>
    <w:rsid w:val="000A42DB"/>
    <w:rsid w:val="000A4FA8"/>
    <w:rsid w:val="000A5B70"/>
    <w:rsid w:val="000A5CAD"/>
    <w:rsid w:val="000A6315"/>
    <w:rsid w:val="000A64DA"/>
    <w:rsid w:val="000A6AA2"/>
    <w:rsid w:val="000A6B31"/>
    <w:rsid w:val="000A71EA"/>
    <w:rsid w:val="000A7208"/>
    <w:rsid w:val="000B03F9"/>
    <w:rsid w:val="000B09E5"/>
    <w:rsid w:val="000B13BA"/>
    <w:rsid w:val="000B1B33"/>
    <w:rsid w:val="000B29EE"/>
    <w:rsid w:val="000B2C62"/>
    <w:rsid w:val="000B2D75"/>
    <w:rsid w:val="000B2F28"/>
    <w:rsid w:val="000B2F50"/>
    <w:rsid w:val="000B3211"/>
    <w:rsid w:val="000B323E"/>
    <w:rsid w:val="000B3B61"/>
    <w:rsid w:val="000B432D"/>
    <w:rsid w:val="000B4363"/>
    <w:rsid w:val="000B4D89"/>
    <w:rsid w:val="000B58BB"/>
    <w:rsid w:val="000B5A66"/>
    <w:rsid w:val="000B5FDE"/>
    <w:rsid w:val="000B60C7"/>
    <w:rsid w:val="000B6193"/>
    <w:rsid w:val="000B6402"/>
    <w:rsid w:val="000B6FEF"/>
    <w:rsid w:val="000B70C8"/>
    <w:rsid w:val="000C00DB"/>
    <w:rsid w:val="000C06B2"/>
    <w:rsid w:val="000C085B"/>
    <w:rsid w:val="000C09C7"/>
    <w:rsid w:val="000C111E"/>
    <w:rsid w:val="000C12F9"/>
    <w:rsid w:val="000C155A"/>
    <w:rsid w:val="000C1DFB"/>
    <w:rsid w:val="000C1FCA"/>
    <w:rsid w:val="000C21A2"/>
    <w:rsid w:val="000C26DB"/>
    <w:rsid w:val="000C2C96"/>
    <w:rsid w:val="000C32E7"/>
    <w:rsid w:val="000C338B"/>
    <w:rsid w:val="000C33E3"/>
    <w:rsid w:val="000C38FA"/>
    <w:rsid w:val="000C3BC7"/>
    <w:rsid w:val="000C3BE7"/>
    <w:rsid w:val="000C3DB7"/>
    <w:rsid w:val="000C3EB2"/>
    <w:rsid w:val="000C3EDF"/>
    <w:rsid w:val="000C3FC8"/>
    <w:rsid w:val="000C4212"/>
    <w:rsid w:val="000C42CD"/>
    <w:rsid w:val="000C42E2"/>
    <w:rsid w:val="000C4A53"/>
    <w:rsid w:val="000C51CA"/>
    <w:rsid w:val="000C5423"/>
    <w:rsid w:val="000C5887"/>
    <w:rsid w:val="000C58C1"/>
    <w:rsid w:val="000C5BE9"/>
    <w:rsid w:val="000C5FBA"/>
    <w:rsid w:val="000C620A"/>
    <w:rsid w:val="000C6F5E"/>
    <w:rsid w:val="000C75B5"/>
    <w:rsid w:val="000C7669"/>
    <w:rsid w:val="000C7F7A"/>
    <w:rsid w:val="000C7FA1"/>
    <w:rsid w:val="000D01C5"/>
    <w:rsid w:val="000D0337"/>
    <w:rsid w:val="000D0B8F"/>
    <w:rsid w:val="000D0C0B"/>
    <w:rsid w:val="000D0C6B"/>
    <w:rsid w:val="000D1043"/>
    <w:rsid w:val="000D1364"/>
    <w:rsid w:val="000D153E"/>
    <w:rsid w:val="000D1832"/>
    <w:rsid w:val="000D1A86"/>
    <w:rsid w:val="000D2029"/>
    <w:rsid w:val="000D205A"/>
    <w:rsid w:val="000D21BB"/>
    <w:rsid w:val="000D2396"/>
    <w:rsid w:val="000D26A7"/>
    <w:rsid w:val="000D2758"/>
    <w:rsid w:val="000D2F09"/>
    <w:rsid w:val="000D36D9"/>
    <w:rsid w:val="000D37DB"/>
    <w:rsid w:val="000D380D"/>
    <w:rsid w:val="000D3BD2"/>
    <w:rsid w:val="000D3C9B"/>
    <w:rsid w:val="000D4397"/>
    <w:rsid w:val="000D4673"/>
    <w:rsid w:val="000D480B"/>
    <w:rsid w:val="000D4FE2"/>
    <w:rsid w:val="000D51FB"/>
    <w:rsid w:val="000D5638"/>
    <w:rsid w:val="000D5760"/>
    <w:rsid w:val="000D58AB"/>
    <w:rsid w:val="000D5971"/>
    <w:rsid w:val="000D5CDB"/>
    <w:rsid w:val="000D5E68"/>
    <w:rsid w:val="000D632B"/>
    <w:rsid w:val="000D6671"/>
    <w:rsid w:val="000D7698"/>
    <w:rsid w:val="000D76C3"/>
    <w:rsid w:val="000D7BD2"/>
    <w:rsid w:val="000E00DC"/>
    <w:rsid w:val="000E0217"/>
    <w:rsid w:val="000E0659"/>
    <w:rsid w:val="000E0D7E"/>
    <w:rsid w:val="000E0E93"/>
    <w:rsid w:val="000E165A"/>
    <w:rsid w:val="000E16B5"/>
    <w:rsid w:val="000E1FB7"/>
    <w:rsid w:val="000E2307"/>
    <w:rsid w:val="000E24DB"/>
    <w:rsid w:val="000E258F"/>
    <w:rsid w:val="000E2FE1"/>
    <w:rsid w:val="000E38E6"/>
    <w:rsid w:val="000E4082"/>
    <w:rsid w:val="000E4160"/>
    <w:rsid w:val="000E42FE"/>
    <w:rsid w:val="000E50FB"/>
    <w:rsid w:val="000E553C"/>
    <w:rsid w:val="000E55C8"/>
    <w:rsid w:val="000E5863"/>
    <w:rsid w:val="000E5B26"/>
    <w:rsid w:val="000E5F68"/>
    <w:rsid w:val="000E654D"/>
    <w:rsid w:val="000E65BA"/>
    <w:rsid w:val="000E661C"/>
    <w:rsid w:val="000E6BFE"/>
    <w:rsid w:val="000E7153"/>
    <w:rsid w:val="000E755B"/>
    <w:rsid w:val="000E7ABB"/>
    <w:rsid w:val="000E7BE6"/>
    <w:rsid w:val="000E7C7F"/>
    <w:rsid w:val="000E7DE5"/>
    <w:rsid w:val="000F03CA"/>
    <w:rsid w:val="000F0BF4"/>
    <w:rsid w:val="000F0C38"/>
    <w:rsid w:val="000F1482"/>
    <w:rsid w:val="000F1565"/>
    <w:rsid w:val="000F1905"/>
    <w:rsid w:val="000F20ED"/>
    <w:rsid w:val="000F23BE"/>
    <w:rsid w:val="000F283D"/>
    <w:rsid w:val="000F2A2E"/>
    <w:rsid w:val="000F3691"/>
    <w:rsid w:val="000F3A30"/>
    <w:rsid w:val="000F4127"/>
    <w:rsid w:val="000F455B"/>
    <w:rsid w:val="000F49D2"/>
    <w:rsid w:val="000F4C3F"/>
    <w:rsid w:val="000F4E16"/>
    <w:rsid w:val="000F4E4F"/>
    <w:rsid w:val="000F5098"/>
    <w:rsid w:val="000F51F2"/>
    <w:rsid w:val="000F5311"/>
    <w:rsid w:val="000F57AA"/>
    <w:rsid w:val="000F580B"/>
    <w:rsid w:val="000F64DE"/>
    <w:rsid w:val="000F694C"/>
    <w:rsid w:val="000F6D62"/>
    <w:rsid w:val="000F7121"/>
    <w:rsid w:val="000F7D40"/>
    <w:rsid w:val="001008A5"/>
    <w:rsid w:val="00100985"/>
    <w:rsid w:val="00100BC9"/>
    <w:rsid w:val="00100EB9"/>
    <w:rsid w:val="00100F2C"/>
    <w:rsid w:val="00100F74"/>
    <w:rsid w:val="00100FC3"/>
    <w:rsid w:val="00101894"/>
    <w:rsid w:val="0010207E"/>
    <w:rsid w:val="00102128"/>
    <w:rsid w:val="001028BC"/>
    <w:rsid w:val="00102EC7"/>
    <w:rsid w:val="00102FDD"/>
    <w:rsid w:val="00103720"/>
    <w:rsid w:val="001055EC"/>
    <w:rsid w:val="00105853"/>
    <w:rsid w:val="00105E97"/>
    <w:rsid w:val="00106272"/>
    <w:rsid w:val="00106379"/>
    <w:rsid w:val="0010638B"/>
    <w:rsid w:val="001100AD"/>
    <w:rsid w:val="001102A3"/>
    <w:rsid w:val="0011084F"/>
    <w:rsid w:val="00111994"/>
    <w:rsid w:val="00111B87"/>
    <w:rsid w:val="00111BD6"/>
    <w:rsid w:val="00111E10"/>
    <w:rsid w:val="0011223E"/>
    <w:rsid w:val="001139CE"/>
    <w:rsid w:val="00113A65"/>
    <w:rsid w:val="00113C32"/>
    <w:rsid w:val="00113D5A"/>
    <w:rsid w:val="0011407F"/>
    <w:rsid w:val="0011419C"/>
    <w:rsid w:val="001145B4"/>
    <w:rsid w:val="00115E6B"/>
    <w:rsid w:val="00116AD4"/>
    <w:rsid w:val="001171E1"/>
    <w:rsid w:val="00117531"/>
    <w:rsid w:val="001175BA"/>
    <w:rsid w:val="001176DE"/>
    <w:rsid w:val="001178C3"/>
    <w:rsid w:val="00117F5E"/>
    <w:rsid w:val="001206AC"/>
    <w:rsid w:val="00121CEB"/>
    <w:rsid w:val="00121D38"/>
    <w:rsid w:val="00121E3C"/>
    <w:rsid w:val="00121F61"/>
    <w:rsid w:val="0012202F"/>
    <w:rsid w:val="001227A5"/>
    <w:rsid w:val="00122A0B"/>
    <w:rsid w:val="00123112"/>
    <w:rsid w:val="00123374"/>
    <w:rsid w:val="00123380"/>
    <w:rsid w:val="00123AB9"/>
    <w:rsid w:val="00123B1B"/>
    <w:rsid w:val="001241B1"/>
    <w:rsid w:val="0012435F"/>
    <w:rsid w:val="001244F2"/>
    <w:rsid w:val="00124A8B"/>
    <w:rsid w:val="00124EA6"/>
    <w:rsid w:val="00125054"/>
    <w:rsid w:val="00125095"/>
    <w:rsid w:val="001254FD"/>
    <w:rsid w:val="001257EF"/>
    <w:rsid w:val="00125A44"/>
    <w:rsid w:val="00125F54"/>
    <w:rsid w:val="001274A7"/>
    <w:rsid w:val="00127546"/>
    <w:rsid w:val="00127628"/>
    <w:rsid w:val="00130B60"/>
    <w:rsid w:val="00130FA0"/>
    <w:rsid w:val="00130FB0"/>
    <w:rsid w:val="0013118C"/>
    <w:rsid w:val="0013170B"/>
    <w:rsid w:val="00131A07"/>
    <w:rsid w:val="00132378"/>
    <w:rsid w:val="00132385"/>
    <w:rsid w:val="001323B7"/>
    <w:rsid w:val="001324B3"/>
    <w:rsid w:val="0013334A"/>
    <w:rsid w:val="001335BE"/>
    <w:rsid w:val="001336EC"/>
    <w:rsid w:val="00133A06"/>
    <w:rsid w:val="00133A97"/>
    <w:rsid w:val="0013408E"/>
    <w:rsid w:val="00135298"/>
    <w:rsid w:val="0013532C"/>
    <w:rsid w:val="0013555F"/>
    <w:rsid w:val="001358A3"/>
    <w:rsid w:val="00135BFB"/>
    <w:rsid w:val="00135EBA"/>
    <w:rsid w:val="001361D0"/>
    <w:rsid w:val="001364E6"/>
    <w:rsid w:val="00136E1D"/>
    <w:rsid w:val="001370F4"/>
    <w:rsid w:val="00137D65"/>
    <w:rsid w:val="00137EE2"/>
    <w:rsid w:val="00137F5B"/>
    <w:rsid w:val="0014056B"/>
    <w:rsid w:val="001413F6"/>
    <w:rsid w:val="001414D8"/>
    <w:rsid w:val="00141B52"/>
    <w:rsid w:val="00141B58"/>
    <w:rsid w:val="00141B90"/>
    <w:rsid w:val="00142D82"/>
    <w:rsid w:val="00142DC2"/>
    <w:rsid w:val="00142DFA"/>
    <w:rsid w:val="00142E69"/>
    <w:rsid w:val="00143391"/>
    <w:rsid w:val="0014368F"/>
    <w:rsid w:val="00143D26"/>
    <w:rsid w:val="001444DF"/>
    <w:rsid w:val="001448F2"/>
    <w:rsid w:val="001450BC"/>
    <w:rsid w:val="001451C3"/>
    <w:rsid w:val="00146574"/>
    <w:rsid w:val="00146990"/>
    <w:rsid w:val="00147161"/>
    <w:rsid w:val="00147E2D"/>
    <w:rsid w:val="001503F4"/>
    <w:rsid w:val="00151227"/>
    <w:rsid w:val="001512B5"/>
    <w:rsid w:val="00151437"/>
    <w:rsid w:val="00151FAA"/>
    <w:rsid w:val="001523D9"/>
    <w:rsid w:val="00152BB7"/>
    <w:rsid w:val="00152F5C"/>
    <w:rsid w:val="00153628"/>
    <w:rsid w:val="001536E1"/>
    <w:rsid w:val="00153949"/>
    <w:rsid w:val="00153EE3"/>
    <w:rsid w:val="0015401F"/>
    <w:rsid w:val="0015403B"/>
    <w:rsid w:val="00154286"/>
    <w:rsid w:val="00154679"/>
    <w:rsid w:val="00154C8B"/>
    <w:rsid w:val="001550BF"/>
    <w:rsid w:val="0015556E"/>
    <w:rsid w:val="00155EDD"/>
    <w:rsid w:val="00156070"/>
    <w:rsid w:val="001562E5"/>
    <w:rsid w:val="00156407"/>
    <w:rsid w:val="0015649B"/>
    <w:rsid w:val="001567A2"/>
    <w:rsid w:val="00156DFC"/>
    <w:rsid w:val="00156F02"/>
    <w:rsid w:val="00156F93"/>
    <w:rsid w:val="00156FFC"/>
    <w:rsid w:val="00157E79"/>
    <w:rsid w:val="00160DE4"/>
    <w:rsid w:val="00161173"/>
    <w:rsid w:val="00161D4A"/>
    <w:rsid w:val="0016206F"/>
    <w:rsid w:val="00162186"/>
    <w:rsid w:val="00162772"/>
    <w:rsid w:val="0016285A"/>
    <w:rsid w:val="001635A0"/>
    <w:rsid w:val="001635CD"/>
    <w:rsid w:val="00164037"/>
    <w:rsid w:val="001642D0"/>
    <w:rsid w:val="001645C9"/>
    <w:rsid w:val="0016488B"/>
    <w:rsid w:val="001650F4"/>
    <w:rsid w:val="001653D9"/>
    <w:rsid w:val="00165740"/>
    <w:rsid w:val="00165A2C"/>
    <w:rsid w:val="001666E5"/>
    <w:rsid w:val="00166943"/>
    <w:rsid w:val="001669AE"/>
    <w:rsid w:val="00166CAE"/>
    <w:rsid w:val="00166F3B"/>
    <w:rsid w:val="0016707C"/>
    <w:rsid w:val="00167154"/>
    <w:rsid w:val="001672E4"/>
    <w:rsid w:val="00167736"/>
    <w:rsid w:val="00167A25"/>
    <w:rsid w:val="00167A4B"/>
    <w:rsid w:val="00170115"/>
    <w:rsid w:val="00170D82"/>
    <w:rsid w:val="00171A21"/>
    <w:rsid w:val="00171C1E"/>
    <w:rsid w:val="0017201B"/>
    <w:rsid w:val="001725E8"/>
    <w:rsid w:val="00172649"/>
    <w:rsid w:val="001728C6"/>
    <w:rsid w:val="00172AA7"/>
    <w:rsid w:val="001733B2"/>
    <w:rsid w:val="001735BD"/>
    <w:rsid w:val="00173E82"/>
    <w:rsid w:val="00174EDD"/>
    <w:rsid w:val="00175BC7"/>
    <w:rsid w:val="00175C5F"/>
    <w:rsid w:val="001761F6"/>
    <w:rsid w:val="00176C45"/>
    <w:rsid w:val="00176C7C"/>
    <w:rsid w:val="001770C0"/>
    <w:rsid w:val="001776E5"/>
    <w:rsid w:val="00177AD5"/>
    <w:rsid w:val="00180B9D"/>
    <w:rsid w:val="001812BC"/>
    <w:rsid w:val="00181411"/>
    <w:rsid w:val="001815B5"/>
    <w:rsid w:val="00181BBB"/>
    <w:rsid w:val="00182602"/>
    <w:rsid w:val="00182799"/>
    <w:rsid w:val="00182BAC"/>
    <w:rsid w:val="00182C26"/>
    <w:rsid w:val="00182D34"/>
    <w:rsid w:val="00182DB7"/>
    <w:rsid w:val="001831AE"/>
    <w:rsid w:val="0018353D"/>
    <w:rsid w:val="00183759"/>
    <w:rsid w:val="00183F24"/>
    <w:rsid w:val="001847C4"/>
    <w:rsid w:val="00184CAB"/>
    <w:rsid w:val="00185231"/>
    <w:rsid w:val="0018530C"/>
    <w:rsid w:val="001856EB"/>
    <w:rsid w:val="00185AD1"/>
    <w:rsid w:val="00185E35"/>
    <w:rsid w:val="001865BC"/>
    <w:rsid w:val="001866E8"/>
    <w:rsid w:val="00186774"/>
    <w:rsid w:val="001867B7"/>
    <w:rsid w:val="00187193"/>
    <w:rsid w:val="001875CF"/>
    <w:rsid w:val="001902A8"/>
    <w:rsid w:val="001902E7"/>
    <w:rsid w:val="001907D5"/>
    <w:rsid w:val="0019099E"/>
    <w:rsid w:val="00190FE6"/>
    <w:rsid w:val="00191A1F"/>
    <w:rsid w:val="00191F4C"/>
    <w:rsid w:val="00192082"/>
    <w:rsid w:val="0019294D"/>
    <w:rsid w:val="00192BEA"/>
    <w:rsid w:val="0019323A"/>
    <w:rsid w:val="00193B21"/>
    <w:rsid w:val="00194D1B"/>
    <w:rsid w:val="00194ED2"/>
    <w:rsid w:val="001955C6"/>
    <w:rsid w:val="00195B14"/>
    <w:rsid w:val="00195DE2"/>
    <w:rsid w:val="00196802"/>
    <w:rsid w:val="001969C9"/>
    <w:rsid w:val="00196C46"/>
    <w:rsid w:val="00196C5C"/>
    <w:rsid w:val="001975FE"/>
    <w:rsid w:val="00197D3D"/>
    <w:rsid w:val="001A01B5"/>
    <w:rsid w:val="001A03EC"/>
    <w:rsid w:val="001A07C9"/>
    <w:rsid w:val="001A0809"/>
    <w:rsid w:val="001A0853"/>
    <w:rsid w:val="001A1C0B"/>
    <w:rsid w:val="001A1E3F"/>
    <w:rsid w:val="001A2034"/>
    <w:rsid w:val="001A2817"/>
    <w:rsid w:val="001A2908"/>
    <w:rsid w:val="001A2A46"/>
    <w:rsid w:val="001A32A5"/>
    <w:rsid w:val="001A38D1"/>
    <w:rsid w:val="001A396A"/>
    <w:rsid w:val="001A45AE"/>
    <w:rsid w:val="001A4696"/>
    <w:rsid w:val="001A52F7"/>
    <w:rsid w:val="001A53A9"/>
    <w:rsid w:val="001A58A4"/>
    <w:rsid w:val="001A5914"/>
    <w:rsid w:val="001A634E"/>
    <w:rsid w:val="001A6DFD"/>
    <w:rsid w:val="001A6ED2"/>
    <w:rsid w:val="001A73AD"/>
    <w:rsid w:val="001A76DF"/>
    <w:rsid w:val="001B046B"/>
    <w:rsid w:val="001B0653"/>
    <w:rsid w:val="001B070E"/>
    <w:rsid w:val="001B0A48"/>
    <w:rsid w:val="001B0B9E"/>
    <w:rsid w:val="001B17A4"/>
    <w:rsid w:val="001B197B"/>
    <w:rsid w:val="001B2540"/>
    <w:rsid w:val="001B2542"/>
    <w:rsid w:val="001B2729"/>
    <w:rsid w:val="001B2CEB"/>
    <w:rsid w:val="001B306B"/>
    <w:rsid w:val="001B3F6B"/>
    <w:rsid w:val="001B4332"/>
    <w:rsid w:val="001B49FC"/>
    <w:rsid w:val="001B4B8C"/>
    <w:rsid w:val="001B4F82"/>
    <w:rsid w:val="001B51C6"/>
    <w:rsid w:val="001B53C6"/>
    <w:rsid w:val="001B5DA6"/>
    <w:rsid w:val="001B6054"/>
    <w:rsid w:val="001B617C"/>
    <w:rsid w:val="001B6232"/>
    <w:rsid w:val="001B62BD"/>
    <w:rsid w:val="001B64E5"/>
    <w:rsid w:val="001B67CD"/>
    <w:rsid w:val="001B73A1"/>
    <w:rsid w:val="001B7BA9"/>
    <w:rsid w:val="001B7DD6"/>
    <w:rsid w:val="001B7F73"/>
    <w:rsid w:val="001C01F2"/>
    <w:rsid w:val="001C0BBF"/>
    <w:rsid w:val="001C0E0F"/>
    <w:rsid w:val="001C0EB9"/>
    <w:rsid w:val="001C172C"/>
    <w:rsid w:val="001C1734"/>
    <w:rsid w:val="001C1DA4"/>
    <w:rsid w:val="001C25F1"/>
    <w:rsid w:val="001C2656"/>
    <w:rsid w:val="001C2AF6"/>
    <w:rsid w:val="001C2DAE"/>
    <w:rsid w:val="001C3408"/>
    <w:rsid w:val="001C37C8"/>
    <w:rsid w:val="001C3C57"/>
    <w:rsid w:val="001C3F1A"/>
    <w:rsid w:val="001C459A"/>
    <w:rsid w:val="001C479D"/>
    <w:rsid w:val="001C4D75"/>
    <w:rsid w:val="001C4EBF"/>
    <w:rsid w:val="001C53D2"/>
    <w:rsid w:val="001C55BD"/>
    <w:rsid w:val="001C5C56"/>
    <w:rsid w:val="001C5C7F"/>
    <w:rsid w:val="001C5DB9"/>
    <w:rsid w:val="001C6442"/>
    <w:rsid w:val="001C6447"/>
    <w:rsid w:val="001C6591"/>
    <w:rsid w:val="001C673E"/>
    <w:rsid w:val="001C6D55"/>
    <w:rsid w:val="001C747D"/>
    <w:rsid w:val="001C772F"/>
    <w:rsid w:val="001C7754"/>
    <w:rsid w:val="001C77EC"/>
    <w:rsid w:val="001C7C2E"/>
    <w:rsid w:val="001C7C8D"/>
    <w:rsid w:val="001C7F02"/>
    <w:rsid w:val="001D034A"/>
    <w:rsid w:val="001D134E"/>
    <w:rsid w:val="001D1C87"/>
    <w:rsid w:val="001D1E8B"/>
    <w:rsid w:val="001D1FF7"/>
    <w:rsid w:val="001D2016"/>
    <w:rsid w:val="001D202A"/>
    <w:rsid w:val="001D2138"/>
    <w:rsid w:val="001D243C"/>
    <w:rsid w:val="001D254D"/>
    <w:rsid w:val="001D2641"/>
    <w:rsid w:val="001D2ADB"/>
    <w:rsid w:val="001D2CFF"/>
    <w:rsid w:val="001D2ED8"/>
    <w:rsid w:val="001D3292"/>
    <w:rsid w:val="001D366E"/>
    <w:rsid w:val="001D3ED4"/>
    <w:rsid w:val="001D4682"/>
    <w:rsid w:val="001D4817"/>
    <w:rsid w:val="001D522A"/>
    <w:rsid w:val="001D57EE"/>
    <w:rsid w:val="001D5CBE"/>
    <w:rsid w:val="001D6298"/>
    <w:rsid w:val="001D6C9E"/>
    <w:rsid w:val="001D6CBC"/>
    <w:rsid w:val="001E00D9"/>
    <w:rsid w:val="001E04D1"/>
    <w:rsid w:val="001E0634"/>
    <w:rsid w:val="001E0A3B"/>
    <w:rsid w:val="001E0AD1"/>
    <w:rsid w:val="001E1344"/>
    <w:rsid w:val="001E1736"/>
    <w:rsid w:val="001E1D59"/>
    <w:rsid w:val="001E214C"/>
    <w:rsid w:val="001E2500"/>
    <w:rsid w:val="001E2853"/>
    <w:rsid w:val="001E2E6B"/>
    <w:rsid w:val="001E2F30"/>
    <w:rsid w:val="001E371A"/>
    <w:rsid w:val="001E37B2"/>
    <w:rsid w:val="001E38F5"/>
    <w:rsid w:val="001E3D0A"/>
    <w:rsid w:val="001E3E38"/>
    <w:rsid w:val="001E3E3A"/>
    <w:rsid w:val="001E3F69"/>
    <w:rsid w:val="001E4268"/>
    <w:rsid w:val="001E474E"/>
    <w:rsid w:val="001E522C"/>
    <w:rsid w:val="001E5564"/>
    <w:rsid w:val="001E5B76"/>
    <w:rsid w:val="001E61F9"/>
    <w:rsid w:val="001E6265"/>
    <w:rsid w:val="001E776F"/>
    <w:rsid w:val="001E77CD"/>
    <w:rsid w:val="001E7982"/>
    <w:rsid w:val="001E7AC6"/>
    <w:rsid w:val="001E7B47"/>
    <w:rsid w:val="001E7E8F"/>
    <w:rsid w:val="001E7F1A"/>
    <w:rsid w:val="001F0140"/>
    <w:rsid w:val="001F0B5E"/>
    <w:rsid w:val="001F102A"/>
    <w:rsid w:val="001F1B5B"/>
    <w:rsid w:val="001F215A"/>
    <w:rsid w:val="001F257F"/>
    <w:rsid w:val="001F2985"/>
    <w:rsid w:val="001F2F46"/>
    <w:rsid w:val="001F476C"/>
    <w:rsid w:val="001F4996"/>
    <w:rsid w:val="001F4AF0"/>
    <w:rsid w:val="001F5705"/>
    <w:rsid w:val="001F6A68"/>
    <w:rsid w:val="001F6CA3"/>
    <w:rsid w:val="001F7A00"/>
    <w:rsid w:val="001F7BEF"/>
    <w:rsid w:val="00200527"/>
    <w:rsid w:val="00200A68"/>
    <w:rsid w:val="00200C22"/>
    <w:rsid w:val="0020118D"/>
    <w:rsid w:val="00201A4C"/>
    <w:rsid w:val="00202132"/>
    <w:rsid w:val="002023EE"/>
    <w:rsid w:val="00202784"/>
    <w:rsid w:val="00202A58"/>
    <w:rsid w:val="00203E07"/>
    <w:rsid w:val="002043E7"/>
    <w:rsid w:val="00204507"/>
    <w:rsid w:val="00204A25"/>
    <w:rsid w:val="00204D1A"/>
    <w:rsid w:val="00206545"/>
    <w:rsid w:val="002069DA"/>
    <w:rsid w:val="00206A4F"/>
    <w:rsid w:val="00206BBC"/>
    <w:rsid w:val="00206C1A"/>
    <w:rsid w:val="002078C1"/>
    <w:rsid w:val="00210463"/>
    <w:rsid w:val="002104D2"/>
    <w:rsid w:val="0021158A"/>
    <w:rsid w:val="0021180F"/>
    <w:rsid w:val="00211BE9"/>
    <w:rsid w:val="00211BF0"/>
    <w:rsid w:val="00211CE5"/>
    <w:rsid w:val="00211E8A"/>
    <w:rsid w:val="00212052"/>
    <w:rsid w:val="00212580"/>
    <w:rsid w:val="002126AE"/>
    <w:rsid w:val="00212886"/>
    <w:rsid w:val="00212BF9"/>
    <w:rsid w:val="00213472"/>
    <w:rsid w:val="002135A9"/>
    <w:rsid w:val="002143C5"/>
    <w:rsid w:val="002154EC"/>
    <w:rsid w:val="0021557D"/>
    <w:rsid w:val="0021559B"/>
    <w:rsid w:val="00215760"/>
    <w:rsid w:val="002158A2"/>
    <w:rsid w:val="002158D0"/>
    <w:rsid w:val="00216019"/>
    <w:rsid w:val="00216378"/>
    <w:rsid w:val="00216584"/>
    <w:rsid w:val="00216A02"/>
    <w:rsid w:val="00217003"/>
    <w:rsid w:val="002175A7"/>
    <w:rsid w:val="002177C6"/>
    <w:rsid w:val="002179D3"/>
    <w:rsid w:val="00217E86"/>
    <w:rsid w:val="00220484"/>
    <w:rsid w:val="00220632"/>
    <w:rsid w:val="00220873"/>
    <w:rsid w:val="00220F6E"/>
    <w:rsid w:val="002214A7"/>
    <w:rsid w:val="002215C4"/>
    <w:rsid w:val="00222354"/>
    <w:rsid w:val="00222443"/>
    <w:rsid w:val="0022274D"/>
    <w:rsid w:val="00222A3E"/>
    <w:rsid w:val="00223BB7"/>
    <w:rsid w:val="00224149"/>
    <w:rsid w:val="0022495D"/>
    <w:rsid w:val="00225612"/>
    <w:rsid w:val="002259A0"/>
    <w:rsid w:val="00225A7A"/>
    <w:rsid w:val="00225F5C"/>
    <w:rsid w:val="00226D6D"/>
    <w:rsid w:val="00226E5E"/>
    <w:rsid w:val="0022714D"/>
    <w:rsid w:val="002275A5"/>
    <w:rsid w:val="00227AD3"/>
    <w:rsid w:val="00230139"/>
    <w:rsid w:val="002302EC"/>
    <w:rsid w:val="00230340"/>
    <w:rsid w:val="00230D3F"/>
    <w:rsid w:val="00230E1D"/>
    <w:rsid w:val="00231572"/>
    <w:rsid w:val="00231B1E"/>
    <w:rsid w:val="00231CC7"/>
    <w:rsid w:val="00233001"/>
    <w:rsid w:val="00233F60"/>
    <w:rsid w:val="002342D0"/>
    <w:rsid w:val="002343DD"/>
    <w:rsid w:val="0023498B"/>
    <w:rsid w:val="00234C80"/>
    <w:rsid w:val="00235256"/>
    <w:rsid w:val="00235760"/>
    <w:rsid w:val="00235A1F"/>
    <w:rsid w:val="002360DD"/>
    <w:rsid w:val="00236149"/>
    <w:rsid w:val="00236236"/>
    <w:rsid w:val="0023671F"/>
    <w:rsid w:val="00236B98"/>
    <w:rsid w:val="00237227"/>
    <w:rsid w:val="0023777B"/>
    <w:rsid w:val="00237B34"/>
    <w:rsid w:val="00237D97"/>
    <w:rsid w:val="00240359"/>
    <w:rsid w:val="002407C5"/>
    <w:rsid w:val="00240E41"/>
    <w:rsid w:val="00241523"/>
    <w:rsid w:val="002419C3"/>
    <w:rsid w:val="00241A1A"/>
    <w:rsid w:val="002422F0"/>
    <w:rsid w:val="0024232E"/>
    <w:rsid w:val="002423A8"/>
    <w:rsid w:val="00242B30"/>
    <w:rsid w:val="00243034"/>
    <w:rsid w:val="002438E1"/>
    <w:rsid w:val="00243A89"/>
    <w:rsid w:val="00243FD1"/>
    <w:rsid w:val="00244232"/>
    <w:rsid w:val="0024479A"/>
    <w:rsid w:val="00244998"/>
    <w:rsid w:val="00244E67"/>
    <w:rsid w:val="00244E8D"/>
    <w:rsid w:val="002450E5"/>
    <w:rsid w:val="0024594C"/>
    <w:rsid w:val="00245BCC"/>
    <w:rsid w:val="00245C74"/>
    <w:rsid w:val="00245CEA"/>
    <w:rsid w:val="002467BB"/>
    <w:rsid w:val="00246A6F"/>
    <w:rsid w:val="00246D19"/>
    <w:rsid w:val="0024706E"/>
    <w:rsid w:val="00247AD5"/>
    <w:rsid w:val="0025090C"/>
    <w:rsid w:val="00250927"/>
    <w:rsid w:val="00250DC1"/>
    <w:rsid w:val="0025112B"/>
    <w:rsid w:val="002518EC"/>
    <w:rsid w:val="00251C50"/>
    <w:rsid w:val="00251F3F"/>
    <w:rsid w:val="0025213A"/>
    <w:rsid w:val="002521B8"/>
    <w:rsid w:val="00252343"/>
    <w:rsid w:val="00252DF5"/>
    <w:rsid w:val="002532B4"/>
    <w:rsid w:val="002535D6"/>
    <w:rsid w:val="00253C9B"/>
    <w:rsid w:val="0025436D"/>
    <w:rsid w:val="00254522"/>
    <w:rsid w:val="0025491D"/>
    <w:rsid w:val="00254986"/>
    <w:rsid w:val="00254A99"/>
    <w:rsid w:val="00254AA7"/>
    <w:rsid w:val="00254C71"/>
    <w:rsid w:val="0025517B"/>
    <w:rsid w:val="00255677"/>
    <w:rsid w:val="002556FD"/>
    <w:rsid w:val="002557A4"/>
    <w:rsid w:val="002558BE"/>
    <w:rsid w:val="00255AE8"/>
    <w:rsid w:val="00257010"/>
    <w:rsid w:val="002570F2"/>
    <w:rsid w:val="002572BC"/>
    <w:rsid w:val="00260075"/>
    <w:rsid w:val="00260A8E"/>
    <w:rsid w:val="00260FC0"/>
    <w:rsid w:val="00261393"/>
    <w:rsid w:val="00262159"/>
    <w:rsid w:val="00262168"/>
    <w:rsid w:val="00262872"/>
    <w:rsid w:val="002632B3"/>
    <w:rsid w:val="002632BA"/>
    <w:rsid w:val="0026454B"/>
    <w:rsid w:val="00264BCC"/>
    <w:rsid w:val="00264D89"/>
    <w:rsid w:val="00265E80"/>
    <w:rsid w:val="00266262"/>
    <w:rsid w:val="002662B4"/>
    <w:rsid w:val="00266300"/>
    <w:rsid w:val="00266362"/>
    <w:rsid w:val="0026680D"/>
    <w:rsid w:val="00266D38"/>
    <w:rsid w:val="00266E4E"/>
    <w:rsid w:val="002671C8"/>
    <w:rsid w:val="0026756F"/>
    <w:rsid w:val="00267AB7"/>
    <w:rsid w:val="00267C36"/>
    <w:rsid w:val="00270033"/>
    <w:rsid w:val="00270146"/>
    <w:rsid w:val="0027081A"/>
    <w:rsid w:val="002712B3"/>
    <w:rsid w:val="00271629"/>
    <w:rsid w:val="0027164F"/>
    <w:rsid w:val="002717D8"/>
    <w:rsid w:val="002719CA"/>
    <w:rsid w:val="002719D9"/>
    <w:rsid w:val="00271B66"/>
    <w:rsid w:val="00271C72"/>
    <w:rsid w:val="00271E84"/>
    <w:rsid w:val="00272022"/>
    <w:rsid w:val="0027230F"/>
    <w:rsid w:val="0027238A"/>
    <w:rsid w:val="00272F4D"/>
    <w:rsid w:val="00272FA7"/>
    <w:rsid w:val="002732F7"/>
    <w:rsid w:val="0027350A"/>
    <w:rsid w:val="002738ED"/>
    <w:rsid w:val="0027394E"/>
    <w:rsid w:val="002741EA"/>
    <w:rsid w:val="00274354"/>
    <w:rsid w:val="002743CD"/>
    <w:rsid w:val="00274441"/>
    <w:rsid w:val="0027509C"/>
    <w:rsid w:val="002754E5"/>
    <w:rsid w:val="00275DAC"/>
    <w:rsid w:val="0027648C"/>
    <w:rsid w:val="0027660B"/>
    <w:rsid w:val="002767E2"/>
    <w:rsid w:val="00276B59"/>
    <w:rsid w:val="00276D63"/>
    <w:rsid w:val="0027706E"/>
    <w:rsid w:val="002777A7"/>
    <w:rsid w:val="0027798F"/>
    <w:rsid w:val="00277CF5"/>
    <w:rsid w:val="002800BA"/>
    <w:rsid w:val="002802F6"/>
    <w:rsid w:val="00280962"/>
    <w:rsid w:val="00280C57"/>
    <w:rsid w:val="00280CCE"/>
    <w:rsid w:val="00280D48"/>
    <w:rsid w:val="00280D9E"/>
    <w:rsid w:val="002817C9"/>
    <w:rsid w:val="00281CB4"/>
    <w:rsid w:val="00282263"/>
    <w:rsid w:val="0028244A"/>
    <w:rsid w:val="002827F7"/>
    <w:rsid w:val="00282A7D"/>
    <w:rsid w:val="00283B7C"/>
    <w:rsid w:val="00283C0C"/>
    <w:rsid w:val="00284019"/>
    <w:rsid w:val="00284DF0"/>
    <w:rsid w:val="00285279"/>
    <w:rsid w:val="00285C0C"/>
    <w:rsid w:val="00285E64"/>
    <w:rsid w:val="0028602B"/>
    <w:rsid w:val="00286145"/>
    <w:rsid w:val="002863B4"/>
    <w:rsid w:val="00286451"/>
    <w:rsid w:val="0028662D"/>
    <w:rsid w:val="00286952"/>
    <w:rsid w:val="00287292"/>
    <w:rsid w:val="0028730B"/>
    <w:rsid w:val="002877E5"/>
    <w:rsid w:val="00290596"/>
    <w:rsid w:val="002907B2"/>
    <w:rsid w:val="00290A2C"/>
    <w:rsid w:val="00290B29"/>
    <w:rsid w:val="0029104F"/>
    <w:rsid w:val="0029226F"/>
    <w:rsid w:val="00293313"/>
    <w:rsid w:val="00293454"/>
    <w:rsid w:val="0029352F"/>
    <w:rsid w:val="00293578"/>
    <w:rsid w:val="002940AB"/>
    <w:rsid w:val="002942DA"/>
    <w:rsid w:val="002942F9"/>
    <w:rsid w:val="002946C0"/>
    <w:rsid w:val="00294F6F"/>
    <w:rsid w:val="00295005"/>
    <w:rsid w:val="00295188"/>
    <w:rsid w:val="00295305"/>
    <w:rsid w:val="00295B83"/>
    <w:rsid w:val="0029726D"/>
    <w:rsid w:val="002A0154"/>
    <w:rsid w:val="002A0970"/>
    <w:rsid w:val="002A0A23"/>
    <w:rsid w:val="002A0C24"/>
    <w:rsid w:val="002A0D87"/>
    <w:rsid w:val="002A1004"/>
    <w:rsid w:val="002A129D"/>
    <w:rsid w:val="002A1996"/>
    <w:rsid w:val="002A19E6"/>
    <w:rsid w:val="002A1C7A"/>
    <w:rsid w:val="002A1D4D"/>
    <w:rsid w:val="002A1D74"/>
    <w:rsid w:val="002A215D"/>
    <w:rsid w:val="002A22D0"/>
    <w:rsid w:val="002A2678"/>
    <w:rsid w:val="002A2684"/>
    <w:rsid w:val="002A2D58"/>
    <w:rsid w:val="002A2E03"/>
    <w:rsid w:val="002A2FC6"/>
    <w:rsid w:val="002A32ED"/>
    <w:rsid w:val="002A3D50"/>
    <w:rsid w:val="002A415F"/>
    <w:rsid w:val="002A4196"/>
    <w:rsid w:val="002A42ED"/>
    <w:rsid w:val="002A4FA2"/>
    <w:rsid w:val="002A54C7"/>
    <w:rsid w:val="002A5949"/>
    <w:rsid w:val="002A5D7A"/>
    <w:rsid w:val="002A69D2"/>
    <w:rsid w:val="002A6E48"/>
    <w:rsid w:val="002A72D5"/>
    <w:rsid w:val="002A74C3"/>
    <w:rsid w:val="002A7518"/>
    <w:rsid w:val="002A75F8"/>
    <w:rsid w:val="002A7A13"/>
    <w:rsid w:val="002A7FCE"/>
    <w:rsid w:val="002B01C3"/>
    <w:rsid w:val="002B022C"/>
    <w:rsid w:val="002B0565"/>
    <w:rsid w:val="002B06B6"/>
    <w:rsid w:val="002B082C"/>
    <w:rsid w:val="002B0898"/>
    <w:rsid w:val="002B0A97"/>
    <w:rsid w:val="002B0CC6"/>
    <w:rsid w:val="002B245B"/>
    <w:rsid w:val="002B2662"/>
    <w:rsid w:val="002B31AA"/>
    <w:rsid w:val="002B3E90"/>
    <w:rsid w:val="002B4428"/>
    <w:rsid w:val="002B44BC"/>
    <w:rsid w:val="002B44EF"/>
    <w:rsid w:val="002B4DBF"/>
    <w:rsid w:val="002B5088"/>
    <w:rsid w:val="002B5350"/>
    <w:rsid w:val="002B56B6"/>
    <w:rsid w:val="002B580D"/>
    <w:rsid w:val="002B5C01"/>
    <w:rsid w:val="002B617E"/>
    <w:rsid w:val="002B65C1"/>
    <w:rsid w:val="002B70D0"/>
    <w:rsid w:val="002B7948"/>
    <w:rsid w:val="002B7F4D"/>
    <w:rsid w:val="002C024F"/>
    <w:rsid w:val="002C0279"/>
    <w:rsid w:val="002C02C6"/>
    <w:rsid w:val="002C0CC6"/>
    <w:rsid w:val="002C0D92"/>
    <w:rsid w:val="002C1632"/>
    <w:rsid w:val="002C1ABC"/>
    <w:rsid w:val="002C1E0E"/>
    <w:rsid w:val="002C256A"/>
    <w:rsid w:val="002C263E"/>
    <w:rsid w:val="002C296E"/>
    <w:rsid w:val="002C2B0D"/>
    <w:rsid w:val="002C377B"/>
    <w:rsid w:val="002C3925"/>
    <w:rsid w:val="002C4382"/>
    <w:rsid w:val="002C49DD"/>
    <w:rsid w:val="002C4B6A"/>
    <w:rsid w:val="002C519C"/>
    <w:rsid w:val="002C5662"/>
    <w:rsid w:val="002C61A2"/>
    <w:rsid w:val="002C6392"/>
    <w:rsid w:val="002C6627"/>
    <w:rsid w:val="002C6A03"/>
    <w:rsid w:val="002C6B1C"/>
    <w:rsid w:val="002C6B75"/>
    <w:rsid w:val="002C6FEC"/>
    <w:rsid w:val="002C72A5"/>
    <w:rsid w:val="002C796C"/>
    <w:rsid w:val="002C7DB0"/>
    <w:rsid w:val="002C7DBD"/>
    <w:rsid w:val="002C7EC4"/>
    <w:rsid w:val="002D00CE"/>
    <w:rsid w:val="002D03EF"/>
    <w:rsid w:val="002D0581"/>
    <w:rsid w:val="002D08B9"/>
    <w:rsid w:val="002D0986"/>
    <w:rsid w:val="002D09B0"/>
    <w:rsid w:val="002D0DB4"/>
    <w:rsid w:val="002D0F13"/>
    <w:rsid w:val="002D0F73"/>
    <w:rsid w:val="002D0FFC"/>
    <w:rsid w:val="002D1112"/>
    <w:rsid w:val="002D14A7"/>
    <w:rsid w:val="002D14FB"/>
    <w:rsid w:val="002D1D0B"/>
    <w:rsid w:val="002D262A"/>
    <w:rsid w:val="002D3157"/>
    <w:rsid w:val="002D3F9F"/>
    <w:rsid w:val="002D46DB"/>
    <w:rsid w:val="002D4AA6"/>
    <w:rsid w:val="002D4BEB"/>
    <w:rsid w:val="002D5181"/>
    <w:rsid w:val="002D51B2"/>
    <w:rsid w:val="002D525A"/>
    <w:rsid w:val="002D562A"/>
    <w:rsid w:val="002D5889"/>
    <w:rsid w:val="002D589D"/>
    <w:rsid w:val="002D5BA6"/>
    <w:rsid w:val="002D6684"/>
    <w:rsid w:val="002D6852"/>
    <w:rsid w:val="002D72E9"/>
    <w:rsid w:val="002D7366"/>
    <w:rsid w:val="002D7582"/>
    <w:rsid w:val="002D7A5A"/>
    <w:rsid w:val="002E01E6"/>
    <w:rsid w:val="002E0333"/>
    <w:rsid w:val="002E03FA"/>
    <w:rsid w:val="002E04FD"/>
    <w:rsid w:val="002E0B00"/>
    <w:rsid w:val="002E0F47"/>
    <w:rsid w:val="002E1105"/>
    <w:rsid w:val="002E18D1"/>
    <w:rsid w:val="002E1AEB"/>
    <w:rsid w:val="002E1D04"/>
    <w:rsid w:val="002E212E"/>
    <w:rsid w:val="002E25AA"/>
    <w:rsid w:val="002E27AC"/>
    <w:rsid w:val="002E329B"/>
    <w:rsid w:val="002E3324"/>
    <w:rsid w:val="002E34C7"/>
    <w:rsid w:val="002E353F"/>
    <w:rsid w:val="002E360A"/>
    <w:rsid w:val="002E3ED4"/>
    <w:rsid w:val="002E40ED"/>
    <w:rsid w:val="002E412D"/>
    <w:rsid w:val="002E4A2F"/>
    <w:rsid w:val="002E5051"/>
    <w:rsid w:val="002E554C"/>
    <w:rsid w:val="002E5CD1"/>
    <w:rsid w:val="002E5CDC"/>
    <w:rsid w:val="002E5D66"/>
    <w:rsid w:val="002E5F8F"/>
    <w:rsid w:val="002E6510"/>
    <w:rsid w:val="002E6BB0"/>
    <w:rsid w:val="002E6D6B"/>
    <w:rsid w:val="002E6F9D"/>
    <w:rsid w:val="002E7443"/>
    <w:rsid w:val="002E77A3"/>
    <w:rsid w:val="002E79F2"/>
    <w:rsid w:val="002F0E59"/>
    <w:rsid w:val="002F1094"/>
    <w:rsid w:val="002F11A4"/>
    <w:rsid w:val="002F1977"/>
    <w:rsid w:val="002F26C0"/>
    <w:rsid w:val="002F3520"/>
    <w:rsid w:val="002F3580"/>
    <w:rsid w:val="002F3F8B"/>
    <w:rsid w:val="002F42D2"/>
    <w:rsid w:val="002F53F8"/>
    <w:rsid w:val="002F57EF"/>
    <w:rsid w:val="002F655C"/>
    <w:rsid w:val="002F6613"/>
    <w:rsid w:val="002F6646"/>
    <w:rsid w:val="002F6986"/>
    <w:rsid w:val="002F6AA0"/>
    <w:rsid w:val="002F7136"/>
    <w:rsid w:val="002F7314"/>
    <w:rsid w:val="002F764C"/>
    <w:rsid w:val="002F7B4F"/>
    <w:rsid w:val="002F7E36"/>
    <w:rsid w:val="00300041"/>
    <w:rsid w:val="00300047"/>
    <w:rsid w:val="003000E5"/>
    <w:rsid w:val="00300310"/>
    <w:rsid w:val="0030069E"/>
    <w:rsid w:val="00300BC9"/>
    <w:rsid w:val="00301348"/>
    <w:rsid w:val="00301DFD"/>
    <w:rsid w:val="00301EFD"/>
    <w:rsid w:val="003022F9"/>
    <w:rsid w:val="00303DF5"/>
    <w:rsid w:val="00304059"/>
    <w:rsid w:val="00304218"/>
    <w:rsid w:val="003044D4"/>
    <w:rsid w:val="00304965"/>
    <w:rsid w:val="00304EF0"/>
    <w:rsid w:val="00305559"/>
    <w:rsid w:val="00305716"/>
    <w:rsid w:val="00305896"/>
    <w:rsid w:val="00305E20"/>
    <w:rsid w:val="00306B15"/>
    <w:rsid w:val="00306B31"/>
    <w:rsid w:val="00306D5F"/>
    <w:rsid w:val="00306DE3"/>
    <w:rsid w:val="0030765F"/>
    <w:rsid w:val="00307D70"/>
    <w:rsid w:val="003109BA"/>
    <w:rsid w:val="00310CCA"/>
    <w:rsid w:val="00310F68"/>
    <w:rsid w:val="003112E0"/>
    <w:rsid w:val="00311820"/>
    <w:rsid w:val="00312011"/>
    <w:rsid w:val="00312376"/>
    <w:rsid w:val="003127BF"/>
    <w:rsid w:val="0031286B"/>
    <w:rsid w:val="00312E45"/>
    <w:rsid w:val="00313085"/>
    <w:rsid w:val="0031358E"/>
    <w:rsid w:val="003136AB"/>
    <w:rsid w:val="003137DE"/>
    <w:rsid w:val="00313C78"/>
    <w:rsid w:val="00313E1B"/>
    <w:rsid w:val="00313EBD"/>
    <w:rsid w:val="00313F32"/>
    <w:rsid w:val="00314129"/>
    <w:rsid w:val="00314298"/>
    <w:rsid w:val="00315906"/>
    <w:rsid w:val="0031596D"/>
    <w:rsid w:val="00315C9D"/>
    <w:rsid w:val="0031610B"/>
    <w:rsid w:val="00316960"/>
    <w:rsid w:val="0031700B"/>
    <w:rsid w:val="00317514"/>
    <w:rsid w:val="00317A15"/>
    <w:rsid w:val="00317B9B"/>
    <w:rsid w:val="0032010C"/>
    <w:rsid w:val="00320274"/>
    <w:rsid w:val="003203F2"/>
    <w:rsid w:val="00320487"/>
    <w:rsid w:val="003204E0"/>
    <w:rsid w:val="00320656"/>
    <w:rsid w:val="003209A6"/>
    <w:rsid w:val="003213FB"/>
    <w:rsid w:val="00321495"/>
    <w:rsid w:val="00321C32"/>
    <w:rsid w:val="00321D4D"/>
    <w:rsid w:val="00321ECD"/>
    <w:rsid w:val="0032209F"/>
    <w:rsid w:val="003224CE"/>
    <w:rsid w:val="00322E29"/>
    <w:rsid w:val="00322F17"/>
    <w:rsid w:val="00322F39"/>
    <w:rsid w:val="0032325E"/>
    <w:rsid w:val="003234E7"/>
    <w:rsid w:val="0032369C"/>
    <w:rsid w:val="003238D3"/>
    <w:rsid w:val="00323AFF"/>
    <w:rsid w:val="00323BB3"/>
    <w:rsid w:val="00323E8D"/>
    <w:rsid w:val="00324D51"/>
    <w:rsid w:val="003251DC"/>
    <w:rsid w:val="0032524B"/>
    <w:rsid w:val="0032567E"/>
    <w:rsid w:val="00325A49"/>
    <w:rsid w:val="00326260"/>
    <w:rsid w:val="00326E4E"/>
    <w:rsid w:val="003301D7"/>
    <w:rsid w:val="003303B3"/>
    <w:rsid w:val="003303F4"/>
    <w:rsid w:val="0033096B"/>
    <w:rsid w:val="00330A5B"/>
    <w:rsid w:val="00330D80"/>
    <w:rsid w:val="00330DBD"/>
    <w:rsid w:val="00331005"/>
    <w:rsid w:val="00331126"/>
    <w:rsid w:val="0033130D"/>
    <w:rsid w:val="00331EEE"/>
    <w:rsid w:val="00331FC1"/>
    <w:rsid w:val="003322A3"/>
    <w:rsid w:val="003325F6"/>
    <w:rsid w:val="003327E7"/>
    <w:rsid w:val="00332F9F"/>
    <w:rsid w:val="00333C32"/>
    <w:rsid w:val="00333C98"/>
    <w:rsid w:val="00333D5C"/>
    <w:rsid w:val="00333D96"/>
    <w:rsid w:val="00334B48"/>
    <w:rsid w:val="00334F95"/>
    <w:rsid w:val="00335C52"/>
    <w:rsid w:val="00336404"/>
    <w:rsid w:val="00336C3E"/>
    <w:rsid w:val="00337C22"/>
    <w:rsid w:val="00340010"/>
    <w:rsid w:val="003405B6"/>
    <w:rsid w:val="0034070B"/>
    <w:rsid w:val="00340A90"/>
    <w:rsid w:val="00340AB2"/>
    <w:rsid w:val="00340FC4"/>
    <w:rsid w:val="003414BD"/>
    <w:rsid w:val="00341AF0"/>
    <w:rsid w:val="003420BC"/>
    <w:rsid w:val="003425D9"/>
    <w:rsid w:val="0034294F"/>
    <w:rsid w:val="00342978"/>
    <w:rsid w:val="00342BBF"/>
    <w:rsid w:val="00343428"/>
    <w:rsid w:val="00343588"/>
    <w:rsid w:val="00343911"/>
    <w:rsid w:val="00343CD1"/>
    <w:rsid w:val="0034427D"/>
    <w:rsid w:val="003442A2"/>
    <w:rsid w:val="003446FF"/>
    <w:rsid w:val="00344A0D"/>
    <w:rsid w:val="00345190"/>
    <w:rsid w:val="003454C2"/>
    <w:rsid w:val="003456BA"/>
    <w:rsid w:val="003458A8"/>
    <w:rsid w:val="00345BBF"/>
    <w:rsid w:val="00345BC5"/>
    <w:rsid w:val="00346CDF"/>
    <w:rsid w:val="00347319"/>
    <w:rsid w:val="003500D4"/>
    <w:rsid w:val="0035062B"/>
    <w:rsid w:val="00350786"/>
    <w:rsid w:val="00350CD6"/>
    <w:rsid w:val="00350D0D"/>
    <w:rsid w:val="00350D2C"/>
    <w:rsid w:val="00350E1F"/>
    <w:rsid w:val="00351373"/>
    <w:rsid w:val="00351506"/>
    <w:rsid w:val="0035172C"/>
    <w:rsid w:val="00351977"/>
    <w:rsid w:val="00351CC3"/>
    <w:rsid w:val="003523A2"/>
    <w:rsid w:val="00352487"/>
    <w:rsid w:val="0035258B"/>
    <w:rsid w:val="003528AF"/>
    <w:rsid w:val="00352A19"/>
    <w:rsid w:val="00352BE7"/>
    <w:rsid w:val="00352D10"/>
    <w:rsid w:val="00352E98"/>
    <w:rsid w:val="0035318E"/>
    <w:rsid w:val="0035345E"/>
    <w:rsid w:val="00353756"/>
    <w:rsid w:val="00353C40"/>
    <w:rsid w:val="00353CD3"/>
    <w:rsid w:val="00354585"/>
    <w:rsid w:val="00354748"/>
    <w:rsid w:val="003548C4"/>
    <w:rsid w:val="003548E1"/>
    <w:rsid w:val="00354CF7"/>
    <w:rsid w:val="003552C5"/>
    <w:rsid w:val="0035559F"/>
    <w:rsid w:val="003555AE"/>
    <w:rsid w:val="00355B5B"/>
    <w:rsid w:val="00355CEA"/>
    <w:rsid w:val="00355E78"/>
    <w:rsid w:val="003560C3"/>
    <w:rsid w:val="003562AB"/>
    <w:rsid w:val="00356CD0"/>
    <w:rsid w:val="0035748E"/>
    <w:rsid w:val="003574D7"/>
    <w:rsid w:val="00357804"/>
    <w:rsid w:val="00357A2B"/>
    <w:rsid w:val="003602E4"/>
    <w:rsid w:val="003609F4"/>
    <w:rsid w:val="00360AAD"/>
    <w:rsid w:val="00360C81"/>
    <w:rsid w:val="003613CF"/>
    <w:rsid w:val="00361965"/>
    <w:rsid w:val="00362379"/>
    <w:rsid w:val="00362B15"/>
    <w:rsid w:val="00362DD1"/>
    <w:rsid w:val="0036333D"/>
    <w:rsid w:val="003634EB"/>
    <w:rsid w:val="003637D7"/>
    <w:rsid w:val="00363B21"/>
    <w:rsid w:val="00363DEE"/>
    <w:rsid w:val="003640C2"/>
    <w:rsid w:val="003648CA"/>
    <w:rsid w:val="00364A47"/>
    <w:rsid w:val="00364EC4"/>
    <w:rsid w:val="00365473"/>
    <w:rsid w:val="00365599"/>
    <w:rsid w:val="00366020"/>
    <w:rsid w:val="00366469"/>
    <w:rsid w:val="003668CC"/>
    <w:rsid w:val="00366942"/>
    <w:rsid w:val="00367112"/>
    <w:rsid w:val="00367217"/>
    <w:rsid w:val="00367733"/>
    <w:rsid w:val="00367D4C"/>
    <w:rsid w:val="0037018F"/>
    <w:rsid w:val="003701DE"/>
    <w:rsid w:val="00370357"/>
    <w:rsid w:val="0037063E"/>
    <w:rsid w:val="003708B6"/>
    <w:rsid w:val="00370D13"/>
    <w:rsid w:val="0037203B"/>
    <w:rsid w:val="003725B3"/>
    <w:rsid w:val="003727F6"/>
    <w:rsid w:val="00373708"/>
    <w:rsid w:val="003741EA"/>
    <w:rsid w:val="0037453E"/>
    <w:rsid w:val="00374BDA"/>
    <w:rsid w:val="00374C02"/>
    <w:rsid w:val="00375C62"/>
    <w:rsid w:val="0037660A"/>
    <w:rsid w:val="00376735"/>
    <w:rsid w:val="003768AE"/>
    <w:rsid w:val="00376D8C"/>
    <w:rsid w:val="00376E6C"/>
    <w:rsid w:val="003773B7"/>
    <w:rsid w:val="0037764F"/>
    <w:rsid w:val="003779E9"/>
    <w:rsid w:val="003779F8"/>
    <w:rsid w:val="00377AA3"/>
    <w:rsid w:val="00377BF5"/>
    <w:rsid w:val="003802E1"/>
    <w:rsid w:val="003812D6"/>
    <w:rsid w:val="00381654"/>
    <w:rsid w:val="003817BF"/>
    <w:rsid w:val="00381C43"/>
    <w:rsid w:val="00381CF8"/>
    <w:rsid w:val="00381F18"/>
    <w:rsid w:val="00382078"/>
    <w:rsid w:val="003822BC"/>
    <w:rsid w:val="00382511"/>
    <w:rsid w:val="00382744"/>
    <w:rsid w:val="0038325A"/>
    <w:rsid w:val="00383282"/>
    <w:rsid w:val="00383F45"/>
    <w:rsid w:val="00384499"/>
    <w:rsid w:val="00384709"/>
    <w:rsid w:val="00384C62"/>
    <w:rsid w:val="00384E0C"/>
    <w:rsid w:val="003856D8"/>
    <w:rsid w:val="00385A35"/>
    <w:rsid w:val="00385D34"/>
    <w:rsid w:val="0038603B"/>
    <w:rsid w:val="00386240"/>
    <w:rsid w:val="00386472"/>
    <w:rsid w:val="00386592"/>
    <w:rsid w:val="003868D0"/>
    <w:rsid w:val="00386F5A"/>
    <w:rsid w:val="00387201"/>
    <w:rsid w:val="003876C2"/>
    <w:rsid w:val="00387A40"/>
    <w:rsid w:val="00387BE3"/>
    <w:rsid w:val="00390213"/>
    <w:rsid w:val="003903A1"/>
    <w:rsid w:val="00390683"/>
    <w:rsid w:val="0039072B"/>
    <w:rsid w:val="0039096E"/>
    <w:rsid w:val="00390C4B"/>
    <w:rsid w:val="00390C74"/>
    <w:rsid w:val="00390FBC"/>
    <w:rsid w:val="00391161"/>
    <w:rsid w:val="0039135B"/>
    <w:rsid w:val="00391903"/>
    <w:rsid w:val="00391FA6"/>
    <w:rsid w:val="0039217A"/>
    <w:rsid w:val="003921D0"/>
    <w:rsid w:val="00392860"/>
    <w:rsid w:val="00393652"/>
    <w:rsid w:val="0039398E"/>
    <w:rsid w:val="003939C6"/>
    <w:rsid w:val="00393ECA"/>
    <w:rsid w:val="00394256"/>
    <w:rsid w:val="00394272"/>
    <w:rsid w:val="00394C1A"/>
    <w:rsid w:val="00394D5D"/>
    <w:rsid w:val="003956AF"/>
    <w:rsid w:val="003957C2"/>
    <w:rsid w:val="00395C6C"/>
    <w:rsid w:val="00395CAA"/>
    <w:rsid w:val="00395CCF"/>
    <w:rsid w:val="003963A3"/>
    <w:rsid w:val="003969D7"/>
    <w:rsid w:val="00396AB1"/>
    <w:rsid w:val="0039773E"/>
    <w:rsid w:val="003977BD"/>
    <w:rsid w:val="00397C61"/>
    <w:rsid w:val="003A02D1"/>
    <w:rsid w:val="003A0409"/>
    <w:rsid w:val="003A0C98"/>
    <w:rsid w:val="003A139D"/>
    <w:rsid w:val="003A13BB"/>
    <w:rsid w:val="003A172E"/>
    <w:rsid w:val="003A17CC"/>
    <w:rsid w:val="003A1A2B"/>
    <w:rsid w:val="003A1F14"/>
    <w:rsid w:val="003A1F46"/>
    <w:rsid w:val="003A2005"/>
    <w:rsid w:val="003A293C"/>
    <w:rsid w:val="003A33AC"/>
    <w:rsid w:val="003A346C"/>
    <w:rsid w:val="003A3556"/>
    <w:rsid w:val="003A383E"/>
    <w:rsid w:val="003A46D0"/>
    <w:rsid w:val="003A4A19"/>
    <w:rsid w:val="003A4A82"/>
    <w:rsid w:val="003A4B0D"/>
    <w:rsid w:val="003A4D56"/>
    <w:rsid w:val="003A5412"/>
    <w:rsid w:val="003A57C0"/>
    <w:rsid w:val="003A5AFD"/>
    <w:rsid w:val="003A5B00"/>
    <w:rsid w:val="003A5BB0"/>
    <w:rsid w:val="003A61B5"/>
    <w:rsid w:val="003A677E"/>
    <w:rsid w:val="003A6F1C"/>
    <w:rsid w:val="003A72CD"/>
    <w:rsid w:val="003A74E2"/>
    <w:rsid w:val="003A79EE"/>
    <w:rsid w:val="003A7B0B"/>
    <w:rsid w:val="003B0480"/>
    <w:rsid w:val="003B0F62"/>
    <w:rsid w:val="003B1704"/>
    <w:rsid w:val="003B1F2C"/>
    <w:rsid w:val="003B2A92"/>
    <w:rsid w:val="003B2BF4"/>
    <w:rsid w:val="003B31B5"/>
    <w:rsid w:val="003B328D"/>
    <w:rsid w:val="003B3684"/>
    <w:rsid w:val="003B4C71"/>
    <w:rsid w:val="003B4F6E"/>
    <w:rsid w:val="003B53C7"/>
    <w:rsid w:val="003B549D"/>
    <w:rsid w:val="003B6700"/>
    <w:rsid w:val="003B6E6A"/>
    <w:rsid w:val="003B7475"/>
    <w:rsid w:val="003B7792"/>
    <w:rsid w:val="003B7C96"/>
    <w:rsid w:val="003B7DC0"/>
    <w:rsid w:val="003C001E"/>
    <w:rsid w:val="003C03A0"/>
    <w:rsid w:val="003C0444"/>
    <w:rsid w:val="003C11D0"/>
    <w:rsid w:val="003C12F0"/>
    <w:rsid w:val="003C16C2"/>
    <w:rsid w:val="003C19D2"/>
    <w:rsid w:val="003C21D5"/>
    <w:rsid w:val="003C2204"/>
    <w:rsid w:val="003C39A8"/>
    <w:rsid w:val="003C3AFF"/>
    <w:rsid w:val="003C3CF6"/>
    <w:rsid w:val="003C43E3"/>
    <w:rsid w:val="003C45AD"/>
    <w:rsid w:val="003C4A35"/>
    <w:rsid w:val="003C50BF"/>
    <w:rsid w:val="003C581F"/>
    <w:rsid w:val="003C58E1"/>
    <w:rsid w:val="003C5945"/>
    <w:rsid w:val="003C5BF7"/>
    <w:rsid w:val="003C5F64"/>
    <w:rsid w:val="003C628C"/>
    <w:rsid w:val="003C66A8"/>
    <w:rsid w:val="003C6ED8"/>
    <w:rsid w:val="003C72CF"/>
    <w:rsid w:val="003C74FB"/>
    <w:rsid w:val="003C75AF"/>
    <w:rsid w:val="003C784B"/>
    <w:rsid w:val="003C78B3"/>
    <w:rsid w:val="003C7C6C"/>
    <w:rsid w:val="003C7D88"/>
    <w:rsid w:val="003C7DDF"/>
    <w:rsid w:val="003D0192"/>
    <w:rsid w:val="003D038A"/>
    <w:rsid w:val="003D040E"/>
    <w:rsid w:val="003D08B1"/>
    <w:rsid w:val="003D11E6"/>
    <w:rsid w:val="003D1580"/>
    <w:rsid w:val="003D18B6"/>
    <w:rsid w:val="003D2111"/>
    <w:rsid w:val="003D2D86"/>
    <w:rsid w:val="003D30CD"/>
    <w:rsid w:val="003D32DE"/>
    <w:rsid w:val="003D3510"/>
    <w:rsid w:val="003D35BA"/>
    <w:rsid w:val="003D36EB"/>
    <w:rsid w:val="003D38DC"/>
    <w:rsid w:val="003D3C90"/>
    <w:rsid w:val="003D3F30"/>
    <w:rsid w:val="003D484E"/>
    <w:rsid w:val="003D4D3B"/>
    <w:rsid w:val="003D50AA"/>
    <w:rsid w:val="003D50CC"/>
    <w:rsid w:val="003D5287"/>
    <w:rsid w:val="003D5302"/>
    <w:rsid w:val="003D5C61"/>
    <w:rsid w:val="003D5D09"/>
    <w:rsid w:val="003D5F41"/>
    <w:rsid w:val="003D602A"/>
    <w:rsid w:val="003D610B"/>
    <w:rsid w:val="003D6149"/>
    <w:rsid w:val="003D6215"/>
    <w:rsid w:val="003D6673"/>
    <w:rsid w:val="003D66FA"/>
    <w:rsid w:val="003D702E"/>
    <w:rsid w:val="003D7054"/>
    <w:rsid w:val="003D7ED8"/>
    <w:rsid w:val="003E06CE"/>
    <w:rsid w:val="003E06FF"/>
    <w:rsid w:val="003E0876"/>
    <w:rsid w:val="003E08A2"/>
    <w:rsid w:val="003E09AC"/>
    <w:rsid w:val="003E0AEA"/>
    <w:rsid w:val="003E0D2E"/>
    <w:rsid w:val="003E1BDC"/>
    <w:rsid w:val="003E1F56"/>
    <w:rsid w:val="003E2393"/>
    <w:rsid w:val="003E2468"/>
    <w:rsid w:val="003E25B2"/>
    <w:rsid w:val="003E32C3"/>
    <w:rsid w:val="003E350F"/>
    <w:rsid w:val="003E35D9"/>
    <w:rsid w:val="003E38C4"/>
    <w:rsid w:val="003E4E52"/>
    <w:rsid w:val="003E5247"/>
    <w:rsid w:val="003E58AB"/>
    <w:rsid w:val="003E5AF2"/>
    <w:rsid w:val="003E5BB3"/>
    <w:rsid w:val="003E5C82"/>
    <w:rsid w:val="003E5F5D"/>
    <w:rsid w:val="003E632B"/>
    <w:rsid w:val="003E67B8"/>
    <w:rsid w:val="003E685F"/>
    <w:rsid w:val="003E68BF"/>
    <w:rsid w:val="003E6B3B"/>
    <w:rsid w:val="003E7CEA"/>
    <w:rsid w:val="003F005A"/>
    <w:rsid w:val="003F0346"/>
    <w:rsid w:val="003F0544"/>
    <w:rsid w:val="003F05FA"/>
    <w:rsid w:val="003F09A6"/>
    <w:rsid w:val="003F0BA3"/>
    <w:rsid w:val="003F0D73"/>
    <w:rsid w:val="003F0E37"/>
    <w:rsid w:val="003F1128"/>
    <w:rsid w:val="003F38CD"/>
    <w:rsid w:val="003F3D0E"/>
    <w:rsid w:val="003F435C"/>
    <w:rsid w:val="003F448E"/>
    <w:rsid w:val="003F4A2D"/>
    <w:rsid w:val="003F4B17"/>
    <w:rsid w:val="003F554F"/>
    <w:rsid w:val="003F5910"/>
    <w:rsid w:val="003F5BA0"/>
    <w:rsid w:val="003F5E24"/>
    <w:rsid w:val="003F6380"/>
    <w:rsid w:val="003F64AA"/>
    <w:rsid w:val="003F6A14"/>
    <w:rsid w:val="003F7344"/>
    <w:rsid w:val="003F75F9"/>
    <w:rsid w:val="003F79D2"/>
    <w:rsid w:val="003F7B4A"/>
    <w:rsid w:val="00400305"/>
    <w:rsid w:val="00400712"/>
    <w:rsid w:val="00400C1C"/>
    <w:rsid w:val="00400C24"/>
    <w:rsid w:val="00400F7E"/>
    <w:rsid w:val="00401A9F"/>
    <w:rsid w:val="00401B2C"/>
    <w:rsid w:val="00402259"/>
    <w:rsid w:val="00402B8B"/>
    <w:rsid w:val="00403615"/>
    <w:rsid w:val="00403860"/>
    <w:rsid w:val="00403DD2"/>
    <w:rsid w:val="004044CD"/>
    <w:rsid w:val="00404779"/>
    <w:rsid w:val="00404822"/>
    <w:rsid w:val="00404B81"/>
    <w:rsid w:val="0040528B"/>
    <w:rsid w:val="0040537D"/>
    <w:rsid w:val="00405D41"/>
    <w:rsid w:val="00406183"/>
    <w:rsid w:val="004061DB"/>
    <w:rsid w:val="0040664C"/>
    <w:rsid w:val="0040693C"/>
    <w:rsid w:val="00406E40"/>
    <w:rsid w:val="00406F36"/>
    <w:rsid w:val="00407338"/>
    <w:rsid w:val="00407341"/>
    <w:rsid w:val="00407A3D"/>
    <w:rsid w:val="00407A7E"/>
    <w:rsid w:val="00407C16"/>
    <w:rsid w:val="00407D4D"/>
    <w:rsid w:val="0041024E"/>
    <w:rsid w:val="00410539"/>
    <w:rsid w:val="00410802"/>
    <w:rsid w:val="00410A2C"/>
    <w:rsid w:val="00410D23"/>
    <w:rsid w:val="004110D4"/>
    <w:rsid w:val="00411842"/>
    <w:rsid w:val="00411866"/>
    <w:rsid w:val="00411DD3"/>
    <w:rsid w:val="00412010"/>
    <w:rsid w:val="00412395"/>
    <w:rsid w:val="0041257E"/>
    <w:rsid w:val="0041286A"/>
    <w:rsid w:val="00412A3C"/>
    <w:rsid w:val="00413320"/>
    <w:rsid w:val="004134EF"/>
    <w:rsid w:val="00413537"/>
    <w:rsid w:val="004136B0"/>
    <w:rsid w:val="0041406F"/>
    <w:rsid w:val="004140B6"/>
    <w:rsid w:val="00415109"/>
    <w:rsid w:val="0041579C"/>
    <w:rsid w:val="0041581B"/>
    <w:rsid w:val="00415C0D"/>
    <w:rsid w:val="0041688D"/>
    <w:rsid w:val="00416ABC"/>
    <w:rsid w:val="00416B10"/>
    <w:rsid w:val="00416FD8"/>
    <w:rsid w:val="004170BF"/>
    <w:rsid w:val="00417306"/>
    <w:rsid w:val="00417900"/>
    <w:rsid w:val="004179B8"/>
    <w:rsid w:val="00417B00"/>
    <w:rsid w:val="00417BD3"/>
    <w:rsid w:val="00417ECB"/>
    <w:rsid w:val="0042000F"/>
    <w:rsid w:val="004210A6"/>
    <w:rsid w:val="0042153D"/>
    <w:rsid w:val="00421CFC"/>
    <w:rsid w:val="004221EC"/>
    <w:rsid w:val="004227CB"/>
    <w:rsid w:val="00422989"/>
    <w:rsid w:val="00423062"/>
    <w:rsid w:val="00423254"/>
    <w:rsid w:val="00423661"/>
    <w:rsid w:val="00423905"/>
    <w:rsid w:val="00423E57"/>
    <w:rsid w:val="00423F83"/>
    <w:rsid w:val="004241BC"/>
    <w:rsid w:val="0042449E"/>
    <w:rsid w:val="004249C6"/>
    <w:rsid w:val="00424C1C"/>
    <w:rsid w:val="004250FB"/>
    <w:rsid w:val="00425325"/>
    <w:rsid w:val="0042557F"/>
    <w:rsid w:val="00425934"/>
    <w:rsid w:val="00425B2A"/>
    <w:rsid w:val="00425B7A"/>
    <w:rsid w:val="004261D4"/>
    <w:rsid w:val="004266A4"/>
    <w:rsid w:val="004268F2"/>
    <w:rsid w:val="00427601"/>
    <w:rsid w:val="004278D0"/>
    <w:rsid w:val="00427D6B"/>
    <w:rsid w:val="00427E01"/>
    <w:rsid w:val="00430106"/>
    <w:rsid w:val="004303C0"/>
    <w:rsid w:val="004304E8"/>
    <w:rsid w:val="00430620"/>
    <w:rsid w:val="00430642"/>
    <w:rsid w:val="00430797"/>
    <w:rsid w:val="00430943"/>
    <w:rsid w:val="00430EBC"/>
    <w:rsid w:val="004314BA"/>
    <w:rsid w:val="004316D6"/>
    <w:rsid w:val="00431BC1"/>
    <w:rsid w:val="004324F3"/>
    <w:rsid w:val="00432786"/>
    <w:rsid w:val="00432CAE"/>
    <w:rsid w:val="00432F89"/>
    <w:rsid w:val="004330A8"/>
    <w:rsid w:val="0043326D"/>
    <w:rsid w:val="0043363F"/>
    <w:rsid w:val="00433818"/>
    <w:rsid w:val="00433F96"/>
    <w:rsid w:val="0043406B"/>
    <w:rsid w:val="00434367"/>
    <w:rsid w:val="00434FF6"/>
    <w:rsid w:val="00435551"/>
    <w:rsid w:val="00435658"/>
    <w:rsid w:val="00435B9B"/>
    <w:rsid w:val="00435F65"/>
    <w:rsid w:val="00436006"/>
    <w:rsid w:val="00437417"/>
    <w:rsid w:val="004378C5"/>
    <w:rsid w:val="00437BF9"/>
    <w:rsid w:val="00437C6F"/>
    <w:rsid w:val="00440040"/>
    <w:rsid w:val="004403CD"/>
    <w:rsid w:val="004405BA"/>
    <w:rsid w:val="00440687"/>
    <w:rsid w:val="00440727"/>
    <w:rsid w:val="004407C5"/>
    <w:rsid w:val="004408BF"/>
    <w:rsid w:val="00440B6F"/>
    <w:rsid w:val="0044147D"/>
    <w:rsid w:val="0044169D"/>
    <w:rsid w:val="00441D73"/>
    <w:rsid w:val="00441F63"/>
    <w:rsid w:val="00442109"/>
    <w:rsid w:val="00442407"/>
    <w:rsid w:val="00442C2C"/>
    <w:rsid w:val="00444086"/>
    <w:rsid w:val="0044447F"/>
    <w:rsid w:val="00444AD4"/>
    <w:rsid w:val="00444F1D"/>
    <w:rsid w:val="0044514A"/>
    <w:rsid w:val="00445504"/>
    <w:rsid w:val="0044588C"/>
    <w:rsid w:val="00445A8B"/>
    <w:rsid w:val="00445D1D"/>
    <w:rsid w:val="004465EB"/>
    <w:rsid w:val="0044685A"/>
    <w:rsid w:val="004470CB"/>
    <w:rsid w:val="004473FA"/>
    <w:rsid w:val="00447C31"/>
    <w:rsid w:val="00447C3D"/>
    <w:rsid w:val="00447DA3"/>
    <w:rsid w:val="00450350"/>
    <w:rsid w:val="00450B24"/>
    <w:rsid w:val="00450DCA"/>
    <w:rsid w:val="004511A7"/>
    <w:rsid w:val="00451202"/>
    <w:rsid w:val="00451375"/>
    <w:rsid w:val="00452F36"/>
    <w:rsid w:val="0045304B"/>
    <w:rsid w:val="004535FC"/>
    <w:rsid w:val="004537DD"/>
    <w:rsid w:val="00453A56"/>
    <w:rsid w:val="00453DB6"/>
    <w:rsid w:val="00454169"/>
    <w:rsid w:val="00454437"/>
    <w:rsid w:val="00454551"/>
    <w:rsid w:val="0045518F"/>
    <w:rsid w:val="0045527D"/>
    <w:rsid w:val="004555DE"/>
    <w:rsid w:val="004556F9"/>
    <w:rsid w:val="00455942"/>
    <w:rsid w:val="0045595A"/>
    <w:rsid w:val="00455B55"/>
    <w:rsid w:val="00455D40"/>
    <w:rsid w:val="00455DC7"/>
    <w:rsid w:val="00455FF1"/>
    <w:rsid w:val="0045618B"/>
    <w:rsid w:val="00456498"/>
    <w:rsid w:val="00456D7C"/>
    <w:rsid w:val="00456EA8"/>
    <w:rsid w:val="00456F2F"/>
    <w:rsid w:val="004573A4"/>
    <w:rsid w:val="0045748A"/>
    <w:rsid w:val="0045758B"/>
    <w:rsid w:val="00457C85"/>
    <w:rsid w:val="00460103"/>
    <w:rsid w:val="004603EF"/>
    <w:rsid w:val="00460F2A"/>
    <w:rsid w:val="00460F92"/>
    <w:rsid w:val="00461E9D"/>
    <w:rsid w:val="004624BE"/>
    <w:rsid w:val="00462FD4"/>
    <w:rsid w:val="0046300D"/>
    <w:rsid w:val="00463B90"/>
    <w:rsid w:val="00464246"/>
    <w:rsid w:val="004646CE"/>
    <w:rsid w:val="00464A66"/>
    <w:rsid w:val="00464B9F"/>
    <w:rsid w:val="004650BC"/>
    <w:rsid w:val="004656A4"/>
    <w:rsid w:val="00466244"/>
    <w:rsid w:val="00467294"/>
    <w:rsid w:val="00467663"/>
    <w:rsid w:val="004679E2"/>
    <w:rsid w:val="00467AFC"/>
    <w:rsid w:val="00467B87"/>
    <w:rsid w:val="00467E3D"/>
    <w:rsid w:val="00467ED2"/>
    <w:rsid w:val="0047027D"/>
    <w:rsid w:val="0047067B"/>
    <w:rsid w:val="004712B3"/>
    <w:rsid w:val="00471642"/>
    <w:rsid w:val="0047168F"/>
    <w:rsid w:val="00471840"/>
    <w:rsid w:val="00471961"/>
    <w:rsid w:val="00471B55"/>
    <w:rsid w:val="00471EC4"/>
    <w:rsid w:val="00472452"/>
    <w:rsid w:val="00472749"/>
    <w:rsid w:val="00472EA5"/>
    <w:rsid w:val="00473880"/>
    <w:rsid w:val="00474072"/>
    <w:rsid w:val="00474705"/>
    <w:rsid w:val="0047570B"/>
    <w:rsid w:val="004760B2"/>
    <w:rsid w:val="0047638F"/>
    <w:rsid w:val="004766DF"/>
    <w:rsid w:val="004773F8"/>
    <w:rsid w:val="00477A08"/>
    <w:rsid w:val="004805EF"/>
    <w:rsid w:val="00480F56"/>
    <w:rsid w:val="00481261"/>
    <w:rsid w:val="00481D82"/>
    <w:rsid w:val="004826C1"/>
    <w:rsid w:val="00482722"/>
    <w:rsid w:val="0048323C"/>
    <w:rsid w:val="004834E1"/>
    <w:rsid w:val="00483812"/>
    <w:rsid w:val="00483889"/>
    <w:rsid w:val="00483AD6"/>
    <w:rsid w:val="00483B5D"/>
    <w:rsid w:val="00483FD0"/>
    <w:rsid w:val="00484AA4"/>
    <w:rsid w:val="00484FD8"/>
    <w:rsid w:val="004850B2"/>
    <w:rsid w:val="00485211"/>
    <w:rsid w:val="0048549E"/>
    <w:rsid w:val="00485FE4"/>
    <w:rsid w:val="0048673F"/>
    <w:rsid w:val="0048677E"/>
    <w:rsid w:val="00486E4C"/>
    <w:rsid w:val="00487727"/>
    <w:rsid w:val="00487896"/>
    <w:rsid w:val="0048793F"/>
    <w:rsid w:val="0049025D"/>
    <w:rsid w:val="004903D7"/>
    <w:rsid w:val="004908D2"/>
    <w:rsid w:val="00490F76"/>
    <w:rsid w:val="004912F0"/>
    <w:rsid w:val="004921E3"/>
    <w:rsid w:val="00492588"/>
    <w:rsid w:val="004926F6"/>
    <w:rsid w:val="004928E4"/>
    <w:rsid w:val="00492AD1"/>
    <w:rsid w:val="00492E1D"/>
    <w:rsid w:val="00492FE8"/>
    <w:rsid w:val="00493BE8"/>
    <w:rsid w:val="00493EAE"/>
    <w:rsid w:val="00493F4A"/>
    <w:rsid w:val="004943FB"/>
    <w:rsid w:val="00494841"/>
    <w:rsid w:val="00494A33"/>
    <w:rsid w:val="00495082"/>
    <w:rsid w:val="004954C7"/>
    <w:rsid w:val="004958D6"/>
    <w:rsid w:val="00495B85"/>
    <w:rsid w:val="00495E0C"/>
    <w:rsid w:val="00495F32"/>
    <w:rsid w:val="00496C38"/>
    <w:rsid w:val="00496C55"/>
    <w:rsid w:val="004971BE"/>
    <w:rsid w:val="004974AE"/>
    <w:rsid w:val="00497699"/>
    <w:rsid w:val="00497805"/>
    <w:rsid w:val="0049782E"/>
    <w:rsid w:val="00497E9A"/>
    <w:rsid w:val="004A015C"/>
    <w:rsid w:val="004A032E"/>
    <w:rsid w:val="004A03C5"/>
    <w:rsid w:val="004A08BB"/>
    <w:rsid w:val="004A124F"/>
    <w:rsid w:val="004A12A5"/>
    <w:rsid w:val="004A12E9"/>
    <w:rsid w:val="004A14F6"/>
    <w:rsid w:val="004A1669"/>
    <w:rsid w:val="004A2194"/>
    <w:rsid w:val="004A2555"/>
    <w:rsid w:val="004A2A0D"/>
    <w:rsid w:val="004A2B02"/>
    <w:rsid w:val="004A310B"/>
    <w:rsid w:val="004A3554"/>
    <w:rsid w:val="004A35D9"/>
    <w:rsid w:val="004A3B4A"/>
    <w:rsid w:val="004A4706"/>
    <w:rsid w:val="004A4D83"/>
    <w:rsid w:val="004A5167"/>
    <w:rsid w:val="004A5616"/>
    <w:rsid w:val="004A5A75"/>
    <w:rsid w:val="004A5E86"/>
    <w:rsid w:val="004A6004"/>
    <w:rsid w:val="004A66BB"/>
    <w:rsid w:val="004A67D4"/>
    <w:rsid w:val="004A686B"/>
    <w:rsid w:val="004A6A4A"/>
    <w:rsid w:val="004A70EF"/>
    <w:rsid w:val="004A7161"/>
    <w:rsid w:val="004A72DA"/>
    <w:rsid w:val="004A7788"/>
    <w:rsid w:val="004A7862"/>
    <w:rsid w:val="004A7BF7"/>
    <w:rsid w:val="004A7DEB"/>
    <w:rsid w:val="004B08B6"/>
    <w:rsid w:val="004B0B79"/>
    <w:rsid w:val="004B16AB"/>
    <w:rsid w:val="004B226C"/>
    <w:rsid w:val="004B23B1"/>
    <w:rsid w:val="004B2831"/>
    <w:rsid w:val="004B35E6"/>
    <w:rsid w:val="004B3B40"/>
    <w:rsid w:val="004B493A"/>
    <w:rsid w:val="004B4FFB"/>
    <w:rsid w:val="004B5CBD"/>
    <w:rsid w:val="004B653E"/>
    <w:rsid w:val="004B6892"/>
    <w:rsid w:val="004B6C50"/>
    <w:rsid w:val="004B6E3A"/>
    <w:rsid w:val="004B7F5C"/>
    <w:rsid w:val="004C0159"/>
    <w:rsid w:val="004C02AB"/>
    <w:rsid w:val="004C04FF"/>
    <w:rsid w:val="004C0720"/>
    <w:rsid w:val="004C0850"/>
    <w:rsid w:val="004C0CF5"/>
    <w:rsid w:val="004C0DE3"/>
    <w:rsid w:val="004C0E74"/>
    <w:rsid w:val="004C0EBF"/>
    <w:rsid w:val="004C15F7"/>
    <w:rsid w:val="004C1D21"/>
    <w:rsid w:val="004C213B"/>
    <w:rsid w:val="004C299E"/>
    <w:rsid w:val="004C2B98"/>
    <w:rsid w:val="004C32FA"/>
    <w:rsid w:val="004C3897"/>
    <w:rsid w:val="004C4235"/>
    <w:rsid w:val="004C4251"/>
    <w:rsid w:val="004C4CF0"/>
    <w:rsid w:val="004C4F5D"/>
    <w:rsid w:val="004C5CAF"/>
    <w:rsid w:val="004C5F8D"/>
    <w:rsid w:val="004C611A"/>
    <w:rsid w:val="004C6405"/>
    <w:rsid w:val="004C6746"/>
    <w:rsid w:val="004C6BFE"/>
    <w:rsid w:val="004C6E44"/>
    <w:rsid w:val="004C6F8B"/>
    <w:rsid w:val="004C793F"/>
    <w:rsid w:val="004C7B52"/>
    <w:rsid w:val="004C7C86"/>
    <w:rsid w:val="004C7F7E"/>
    <w:rsid w:val="004D0387"/>
    <w:rsid w:val="004D0689"/>
    <w:rsid w:val="004D0BA5"/>
    <w:rsid w:val="004D0E1A"/>
    <w:rsid w:val="004D1302"/>
    <w:rsid w:val="004D1461"/>
    <w:rsid w:val="004D15F9"/>
    <w:rsid w:val="004D177C"/>
    <w:rsid w:val="004D229E"/>
    <w:rsid w:val="004D28D7"/>
    <w:rsid w:val="004D2D2D"/>
    <w:rsid w:val="004D3096"/>
    <w:rsid w:val="004D32B9"/>
    <w:rsid w:val="004D35F5"/>
    <w:rsid w:val="004D3AE1"/>
    <w:rsid w:val="004D3F03"/>
    <w:rsid w:val="004D3FF5"/>
    <w:rsid w:val="004D4358"/>
    <w:rsid w:val="004D43F1"/>
    <w:rsid w:val="004D4E14"/>
    <w:rsid w:val="004D5A75"/>
    <w:rsid w:val="004D5BCB"/>
    <w:rsid w:val="004D5F11"/>
    <w:rsid w:val="004D7595"/>
    <w:rsid w:val="004D7926"/>
    <w:rsid w:val="004D7C62"/>
    <w:rsid w:val="004E0399"/>
    <w:rsid w:val="004E0683"/>
    <w:rsid w:val="004E0A1B"/>
    <w:rsid w:val="004E0D0B"/>
    <w:rsid w:val="004E0E40"/>
    <w:rsid w:val="004E1069"/>
    <w:rsid w:val="004E10D9"/>
    <w:rsid w:val="004E11B4"/>
    <w:rsid w:val="004E12AB"/>
    <w:rsid w:val="004E1526"/>
    <w:rsid w:val="004E18B5"/>
    <w:rsid w:val="004E1D09"/>
    <w:rsid w:val="004E20B3"/>
    <w:rsid w:val="004E2707"/>
    <w:rsid w:val="004E3AD7"/>
    <w:rsid w:val="004E3C0F"/>
    <w:rsid w:val="004E3F43"/>
    <w:rsid w:val="004E4136"/>
    <w:rsid w:val="004E4742"/>
    <w:rsid w:val="004E4ED1"/>
    <w:rsid w:val="004E50F1"/>
    <w:rsid w:val="004E590B"/>
    <w:rsid w:val="004E5930"/>
    <w:rsid w:val="004E5DA9"/>
    <w:rsid w:val="004E629F"/>
    <w:rsid w:val="004E63AD"/>
    <w:rsid w:val="004E63E0"/>
    <w:rsid w:val="004E65E5"/>
    <w:rsid w:val="004E6639"/>
    <w:rsid w:val="004E688D"/>
    <w:rsid w:val="004E6F6B"/>
    <w:rsid w:val="004E7C9B"/>
    <w:rsid w:val="004F0419"/>
    <w:rsid w:val="004F175B"/>
    <w:rsid w:val="004F1C1F"/>
    <w:rsid w:val="004F1F40"/>
    <w:rsid w:val="004F213A"/>
    <w:rsid w:val="004F2164"/>
    <w:rsid w:val="004F218F"/>
    <w:rsid w:val="004F2554"/>
    <w:rsid w:val="004F2559"/>
    <w:rsid w:val="004F2579"/>
    <w:rsid w:val="004F2602"/>
    <w:rsid w:val="004F27C0"/>
    <w:rsid w:val="004F3699"/>
    <w:rsid w:val="004F3D90"/>
    <w:rsid w:val="004F3FE9"/>
    <w:rsid w:val="004F44BF"/>
    <w:rsid w:val="004F4C6A"/>
    <w:rsid w:val="004F4F15"/>
    <w:rsid w:val="004F53DB"/>
    <w:rsid w:val="004F53F2"/>
    <w:rsid w:val="004F553C"/>
    <w:rsid w:val="004F5668"/>
    <w:rsid w:val="004F5E81"/>
    <w:rsid w:val="004F5F6E"/>
    <w:rsid w:val="004F60CC"/>
    <w:rsid w:val="004F65C0"/>
    <w:rsid w:val="004F67A3"/>
    <w:rsid w:val="004F6802"/>
    <w:rsid w:val="004F6AC8"/>
    <w:rsid w:val="004F722A"/>
    <w:rsid w:val="004F7813"/>
    <w:rsid w:val="004F7914"/>
    <w:rsid w:val="004F7B45"/>
    <w:rsid w:val="005000BD"/>
    <w:rsid w:val="005002C5"/>
    <w:rsid w:val="005003E2"/>
    <w:rsid w:val="0050069C"/>
    <w:rsid w:val="005006A5"/>
    <w:rsid w:val="0050072D"/>
    <w:rsid w:val="0050092B"/>
    <w:rsid w:val="00500A6D"/>
    <w:rsid w:val="00500DD4"/>
    <w:rsid w:val="005015D0"/>
    <w:rsid w:val="00501699"/>
    <w:rsid w:val="00501C72"/>
    <w:rsid w:val="0050275F"/>
    <w:rsid w:val="00502D43"/>
    <w:rsid w:val="00503012"/>
    <w:rsid w:val="005033BF"/>
    <w:rsid w:val="00503F8F"/>
    <w:rsid w:val="00503FFC"/>
    <w:rsid w:val="005042B4"/>
    <w:rsid w:val="005043F1"/>
    <w:rsid w:val="005044B2"/>
    <w:rsid w:val="0050465D"/>
    <w:rsid w:val="00504B43"/>
    <w:rsid w:val="00504BAC"/>
    <w:rsid w:val="00504F9D"/>
    <w:rsid w:val="005052AE"/>
    <w:rsid w:val="00505795"/>
    <w:rsid w:val="00506343"/>
    <w:rsid w:val="00506C85"/>
    <w:rsid w:val="00506DDE"/>
    <w:rsid w:val="00507192"/>
    <w:rsid w:val="005104BC"/>
    <w:rsid w:val="00510E04"/>
    <w:rsid w:val="00510E5E"/>
    <w:rsid w:val="005120A0"/>
    <w:rsid w:val="005121AC"/>
    <w:rsid w:val="00512A3B"/>
    <w:rsid w:val="005131B6"/>
    <w:rsid w:val="005140EB"/>
    <w:rsid w:val="00514355"/>
    <w:rsid w:val="00514FDD"/>
    <w:rsid w:val="00515044"/>
    <w:rsid w:val="00515126"/>
    <w:rsid w:val="0051581E"/>
    <w:rsid w:val="00515AFD"/>
    <w:rsid w:val="00515B1D"/>
    <w:rsid w:val="00516051"/>
    <w:rsid w:val="00516E01"/>
    <w:rsid w:val="00517509"/>
    <w:rsid w:val="0051754B"/>
    <w:rsid w:val="00517683"/>
    <w:rsid w:val="0051784C"/>
    <w:rsid w:val="005179AC"/>
    <w:rsid w:val="00517CC5"/>
    <w:rsid w:val="00517E07"/>
    <w:rsid w:val="0052033D"/>
    <w:rsid w:val="005203FF"/>
    <w:rsid w:val="0052046E"/>
    <w:rsid w:val="00520ADA"/>
    <w:rsid w:val="00520E00"/>
    <w:rsid w:val="0052111F"/>
    <w:rsid w:val="00521275"/>
    <w:rsid w:val="00521465"/>
    <w:rsid w:val="005218C3"/>
    <w:rsid w:val="0052196C"/>
    <w:rsid w:val="00521DB9"/>
    <w:rsid w:val="005224DC"/>
    <w:rsid w:val="00522996"/>
    <w:rsid w:val="00522D68"/>
    <w:rsid w:val="00523041"/>
    <w:rsid w:val="005230C1"/>
    <w:rsid w:val="00523201"/>
    <w:rsid w:val="00523260"/>
    <w:rsid w:val="0052326A"/>
    <w:rsid w:val="00523960"/>
    <w:rsid w:val="00524160"/>
    <w:rsid w:val="00524192"/>
    <w:rsid w:val="005243B6"/>
    <w:rsid w:val="005245FA"/>
    <w:rsid w:val="00524C24"/>
    <w:rsid w:val="00524DEC"/>
    <w:rsid w:val="00525678"/>
    <w:rsid w:val="00525FAD"/>
    <w:rsid w:val="00526260"/>
    <w:rsid w:val="005263F7"/>
    <w:rsid w:val="00526448"/>
    <w:rsid w:val="00526468"/>
    <w:rsid w:val="005264CE"/>
    <w:rsid w:val="005264E7"/>
    <w:rsid w:val="00526673"/>
    <w:rsid w:val="0052683C"/>
    <w:rsid w:val="00527169"/>
    <w:rsid w:val="005275DF"/>
    <w:rsid w:val="005277C7"/>
    <w:rsid w:val="0053065A"/>
    <w:rsid w:val="0053085F"/>
    <w:rsid w:val="00531524"/>
    <w:rsid w:val="005317EE"/>
    <w:rsid w:val="0053209E"/>
    <w:rsid w:val="005324FD"/>
    <w:rsid w:val="00533117"/>
    <w:rsid w:val="00534B30"/>
    <w:rsid w:val="00534CF1"/>
    <w:rsid w:val="00534D9B"/>
    <w:rsid w:val="00534F34"/>
    <w:rsid w:val="005357C9"/>
    <w:rsid w:val="00536128"/>
    <w:rsid w:val="00536542"/>
    <w:rsid w:val="00536B59"/>
    <w:rsid w:val="0053748C"/>
    <w:rsid w:val="0053787C"/>
    <w:rsid w:val="00537D4D"/>
    <w:rsid w:val="0054002E"/>
    <w:rsid w:val="00540479"/>
    <w:rsid w:val="00540642"/>
    <w:rsid w:val="00540719"/>
    <w:rsid w:val="00540B24"/>
    <w:rsid w:val="005410B9"/>
    <w:rsid w:val="00541511"/>
    <w:rsid w:val="00541593"/>
    <w:rsid w:val="00541E42"/>
    <w:rsid w:val="00542806"/>
    <w:rsid w:val="00542AE4"/>
    <w:rsid w:val="00542EB0"/>
    <w:rsid w:val="00542EC8"/>
    <w:rsid w:val="0054322C"/>
    <w:rsid w:val="005439A3"/>
    <w:rsid w:val="00543E24"/>
    <w:rsid w:val="00543EAA"/>
    <w:rsid w:val="00544977"/>
    <w:rsid w:val="00544B81"/>
    <w:rsid w:val="0054505D"/>
    <w:rsid w:val="00545218"/>
    <w:rsid w:val="00545546"/>
    <w:rsid w:val="00545A12"/>
    <w:rsid w:val="00545A1C"/>
    <w:rsid w:val="00545BDB"/>
    <w:rsid w:val="005461C2"/>
    <w:rsid w:val="0054640D"/>
    <w:rsid w:val="0054646D"/>
    <w:rsid w:val="005476DE"/>
    <w:rsid w:val="00547D01"/>
    <w:rsid w:val="00547EA4"/>
    <w:rsid w:val="0055070D"/>
    <w:rsid w:val="005508B5"/>
    <w:rsid w:val="0055111C"/>
    <w:rsid w:val="005512A9"/>
    <w:rsid w:val="005518DC"/>
    <w:rsid w:val="00551A04"/>
    <w:rsid w:val="00551AB4"/>
    <w:rsid w:val="00551C7F"/>
    <w:rsid w:val="00551ECB"/>
    <w:rsid w:val="00552266"/>
    <w:rsid w:val="005522BC"/>
    <w:rsid w:val="0055273A"/>
    <w:rsid w:val="0055298A"/>
    <w:rsid w:val="00552E4B"/>
    <w:rsid w:val="00553167"/>
    <w:rsid w:val="005533D4"/>
    <w:rsid w:val="00553814"/>
    <w:rsid w:val="00553C4E"/>
    <w:rsid w:val="00553D40"/>
    <w:rsid w:val="00553E48"/>
    <w:rsid w:val="00553F4D"/>
    <w:rsid w:val="00554504"/>
    <w:rsid w:val="00554D64"/>
    <w:rsid w:val="0055505F"/>
    <w:rsid w:val="00555474"/>
    <w:rsid w:val="005557F2"/>
    <w:rsid w:val="00555A68"/>
    <w:rsid w:val="00555A8E"/>
    <w:rsid w:val="00555DB7"/>
    <w:rsid w:val="00555F7E"/>
    <w:rsid w:val="00556122"/>
    <w:rsid w:val="00556829"/>
    <w:rsid w:val="0055693F"/>
    <w:rsid w:val="0055695F"/>
    <w:rsid w:val="00556CD6"/>
    <w:rsid w:val="00556EC9"/>
    <w:rsid w:val="005572D2"/>
    <w:rsid w:val="00557611"/>
    <w:rsid w:val="00557CC9"/>
    <w:rsid w:val="005602C5"/>
    <w:rsid w:val="005616F3"/>
    <w:rsid w:val="00561703"/>
    <w:rsid w:val="0056184E"/>
    <w:rsid w:val="005618E5"/>
    <w:rsid w:val="00562428"/>
    <w:rsid w:val="00562590"/>
    <w:rsid w:val="00562D70"/>
    <w:rsid w:val="00562FFC"/>
    <w:rsid w:val="0056335D"/>
    <w:rsid w:val="0056365D"/>
    <w:rsid w:val="005638AF"/>
    <w:rsid w:val="00563EF4"/>
    <w:rsid w:val="00563F34"/>
    <w:rsid w:val="0056443B"/>
    <w:rsid w:val="00564482"/>
    <w:rsid w:val="005648A2"/>
    <w:rsid w:val="00564F78"/>
    <w:rsid w:val="00564FDE"/>
    <w:rsid w:val="00565C1B"/>
    <w:rsid w:val="005661E9"/>
    <w:rsid w:val="0056665C"/>
    <w:rsid w:val="005668ED"/>
    <w:rsid w:val="00566A81"/>
    <w:rsid w:val="00566AD6"/>
    <w:rsid w:val="00570C3B"/>
    <w:rsid w:val="00570DE1"/>
    <w:rsid w:val="0057121B"/>
    <w:rsid w:val="005712F1"/>
    <w:rsid w:val="005716A7"/>
    <w:rsid w:val="00571E47"/>
    <w:rsid w:val="00572E75"/>
    <w:rsid w:val="0057343C"/>
    <w:rsid w:val="00573E1F"/>
    <w:rsid w:val="00574359"/>
    <w:rsid w:val="005746F7"/>
    <w:rsid w:val="00574ADD"/>
    <w:rsid w:val="00574F7B"/>
    <w:rsid w:val="00575E2B"/>
    <w:rsid w:val="005768C7"/>
    <w:rsid w:val="00576D70"/>
    <w:rsid w:val="005773C9"/>
    <w:rsid w:val="0057765F"/>
    <w:rsid w:val="0057770C"/>
    <w:rsid w:val="005779CA"/>
    <w:rsid w:val="00577DA6"/>
    <w:rsid w:val="00577F57"/>
    <w:rsid w:val="0058045F"/>
    <w:rsid w:val="00580829"/>
    <w:rsid w:val="00580871"/>
    <w:rsid w:val="00581214"/>
    <w:rsid w:val="005825B5"/>
    <w:rsid w:val="00582B32"/>
    <w:rsid w:val="00583176"/>
    <w:rsid w:val="0058326D"/>
    <w:rsid w:val="00583466"/>
    <w:rsid w:val="00583B72"/>
    <w:rsid w:val="00584265"/>
    <w:rsid w:val="00584978"/>
    <w:rsid w:val="00584C0F"/>
    <w:rsid w:val="00585B0A"/>
    <w:rsid w:val="00585B2B"/>
    <w:rsid w:val="00585C0E"/>
    <w:rsid w:val="00585CAF"/>
    <w:rsid w:val="00585F50"/>
    <w:rsid w:val="005860EB"/>
    <w:rsid w:val="00586782"/>
    <w:rsid w:val="005868AD"/>
    <w:rsid w:val="00586D89"/>
    <w:rsid w:val="0058740B"/>
    <w:rsid w:val="005900FD"/>
    <w:rsid w:val="00590310"/>
    <w:rsid w:val="005903A4"/>
    <w:rsid w:val="005906A0"/>
    <w:rsid w:val="0059081C"/>
    <w:rsid w:val="00590B56"/>
    <w:rsid w:val="00591109"/>
    <w:rsid w:val="00591139"/>
    <w:rsid w:val="005916AA"/>
    <w:rsid w:val="00591A2A"/>
    <w:rsid w:val="005924E5"/>
    <w:rsid w:val="00592503"/>
    <w:rsid w:val="00592860"/>
    <w:rsid w:val="00592C9F"/>
    <w:rsid w:val="00592F8D"/>
    <w:rsid w:val="00593068"/>
    <w:rsid w:val="005932B0"/>
    <w:rsid w:val="00593B64"/>
    <w:rsid w:val="005943AB"/>
    <w:rsid w:val="005949EF"/>
    <w:rsid w:val="00594A40"/>
    <w:rsid w:val="00594C86"/>
    <w:rsid w:val="005950E5"/>
    <w:rsid w:val="00595657"/>
    <w:rsid w:val="00596117"/>
    <w:rsid w:val="005962D6"/>
    <w:rsid w:val="00596ACF"/>
    <w:rsid w:val="00596BB7"/>
    <w:rsid w:val="005970B2"/>
    <w:rsid w:val="00597C12"/>
    <w:rsid w:val="005A06F3"/>
    <w:rsid w:val="005A092E"/>
    <w:rsid w:val="005A0D5B"/>
    <w:rsid w:val="005A0F91"/>
    <w:rsid w:val="005A12BE"/>
    <w:rsid w:val="005A1570"/>
    <w:rsid w:val="005A1721"/>
    <w:rsid w:val="005A1DFC"/>
    <w:rsid w:val="005A334D"/>
    <w:rsid w:val="005A37F4"/>
    <w:rsid w:val="005A3D2A"/>
    <w:rsid w:val="005A3E92"/>
    <w:rsid w:val="005A4FAC"/>
    <w:rsid w:val="005A58A0"/>
    <w:rsid w:val="005A5D33"/>
    <w:rsid w:val="005A5E9F"/>
    <w:rsid w:val="005A5EE8"/>
    <w:rsid w:val="005A6103"/>
    <w:rsid w:val="005A6438"/>
    <w:rsid w:val="005A65B6"/>
    <w:rsid w:val="005A6B77"/>
    <w:rsid w:val="005A783E"/>
    <w:rsid w:val="005A78D5"/>
    <w:rsid w:val="005B0733"/>
    <w:rsid w:val="005B0E49"/>
    <w:rsid w:val="005B102D"/>
    <w:rsid w:val="005B123A"/>
    <w:rsid w:val="005B179E"/>
    <w:rsid w:val="005B17AA"/>
    <w:rsid w:val="005B17AC"/>
    <w:rsid w:val="005B1B50"/>
    <w:rsid w:val="005B2808"/>
    <w:rsid w:val="005B288E"/>
    <w:rsid w:val="005B2AC5"/>
    <w:rsid w:val="005B2BFE"/>
    <w:rsid w:val="005B2DE0"/>
    <w:rsid w:val="005B386D"/>
    <w:rsid w:val="005B3F92"/>
    <w:rsid w:val="005B43C0"/>
    <w:rsid w:val="005B4954"/>
    <w:rsid w:val="005B4DA4"/>
    <w:rsid w:val="005B5A4E"/>
    <w:rsid w:val="005B66E8"/>
    <w:rsid w:val="005B6B3A"/>
    <w:rsid w:val="005B6C46"/>
    <w:rsid w:val="005B7734"/>
    <w:rsid w:val="005B7835"/>
    <w:rsid w:val="005B7CA1"/>
    <w:rsid w:val="005B7D56"/>
    <w:rsid w:val="005C02A8"/>
    <w:rsid w:val="005C05C0"/>
    <w:rsid w:val="005C088F"/>
    <w:rsid w:val="005C089D"/>
    <w:rsid w:val="005C0FCD"/>
    <w:rsid w:val="005C17D8"/>
    <w:rsid w:val="005C213C"/>
    <w:rsid w:val="005C2173"/>
    <w:rsid w:val="005C24E3"/>
    <w:rsid w:val="005C2925"/>
    <w:rsid w:val="005C2D0D"/>
    <w:rsid w:val="005C2D53"/>
    <w:rsid w:val="005C2FA2"/>
    <w:rsid w:val="005C3316"/>
    <w:rsid w:val="005C3AA9"/>
    <w:rsid w:val="005C4274"/>
    <w:rsid w:val="005C435A"/>
    <w:rsid w:val="005C454F"/>
    <w:rsid w:val="005C469A"/>
    <w:rsid w:val="005C4730"/>
    <w:rsid w:val="005C552C"/>
    <w:rsid w:val="005C5755"/>
    <w:rsid w:val="005C5938"/>
    <w:rsid w:val="005C5C3A"/>
    <w:rsid w:val="005C5D70"/>
    <w:rsid w:val="005C64A9"/>
    <w:rsid w:val="005C66AF"/>
    <w:rsid w:val="005C7B44"/>
    <w:rsid w:val="005D01A8"/>
    <w:rsid w:val="005D0451"/>
    <w:rsid w:val="005D0BC2"/>
    <w:rsid w:val="005D0BD0"/>
    <w:rsid w:val="005D0D59"/>
    <w:rsid w:val="005D0DA5"/>
    <w:rsid w:val="005D135C"/>
    <w:rsid w:val="005D17E8"/>
    <w:rsid w:val="005D186D"/>
    <w:rsid w:val="005D18EC"/>
    <w:rsid w:val="005D191B"/>
    <w:rsid w:val="005D1976"/>
    <w:rsid w:val="005D2049"/>
    <w:rsid w:val="005D22A2"/>
    <w:rsid w:val="005D22BD"/>
    <w:rsid w:val="005D2CCA"/>
    <w:rsid w:val="005D2FAD"/>
    <w:rsid w:val="005D2FB5"/>
    <w:rsid w:val="005D3538"/>
    <w:rsid w:val="005D36AA"/>
    <w:rsid w:val="005D39F1"/>
    <w:rsid w:val="005D3B78"/>
    <w:rsid w:val="005D3B93"/>
    <w:rsid w:val="005D40A9"/>
    <w:rsid w:val="005D43BA"/>
    <w:rsid w:val="005D44F3"/>
    <w:rsid w:val="005D45B8"/>
    <w:rsid w:val="005D4B8F"/>
    <w:rsid w:val="005D5689"/>
    <w:rsid w:val="005D5695"/>
    <w:rsid w:val="005D5BDE"/>
    <w:rsid w:val="005D5EB7"/>
    <w:rsid w:val="005D5F4F"/>
    <w:rsid w:val="005D651F"/>
    <w:rsid w:val="005D69AD"/>
    <w:rsid w:val="005D6C04"/>
    <w:rsid w:val="005D6C9E"/>
    <w:rsid w:val="005D6DE4"/>
    <w:rsid w:val="005D6E14"/>
    <w:rsid w:val="005D74C9"/>
    <w:rsid w:val="005D76E2"/>
    <w:rsid w:val="005D776B"/>
    <w:rsid w:val="005D77B5"/>
    <w:rsid w:val="005D7830"/>
    <w:rsid w:val="005D7D4B"/>
    <w:rsid w:val="005D7FE4"/>
    <w:rsid w:val="005E05B7"/>
    <w:rsid w:val="005E0C1C"/>
    <w:rsid w:val="005E14D1"/>
    <w:rsid w:val="005E1E67"/>
    <w:rsid w:val="005E2457"/>
    <w:rsid w:val="005E271C"/>
    <w:rsid w:val="005E38DF"/>
    <w:rsid w:val="005E47EB"/>
    <w:rsid w:val="005E4B1E"/>
    <w:rsid w:val="005E4D22"/>
    <w:rsid w:val="005E56CC"/>
    <w:rsid w:val="005E64B7"/>
    <w:rsid w:val="005E6511"/>
    <w:rsid w:val="005E6CE5"/>
    <w:rsid w:val="005E7051"/>
    <w:rsid w:val="005E7087"/>
    <w:rsid w:val="005E7113"/>
    <w:rsid w:val="005E7CB5"/>
    <w:rsid w:val="005E7E0E"/>
    <w:rsid w:val="005F0793"/>
    <w:rsid w:val="005F1627"/>
    <w:rsid w:val="005F174C"/>
    <w:rsid w:val="005F17C9"/>
    <w:rsid w:val="005F1A8E"/>
    <w:rsid w:val="005F1B64"/>
    <w:rsid w:val="005F1E53"/>
    <w:rsid w:val="005F2081"/>
    <w:rsid w:val="005F2512"/>
    <w:rsid w:val="005F2FF0"/>
    <w:rsid w:val="005F3BE3"/>
    <w:rsid w:val="005F3D61"/>
    <w:rsid w:val="005F4924"/>
    <w:rsid w:val="005F4D96"/>
    <w:rsid w:val="005F4E56"/>
    <w:rsid w:val="005F522E"/>
    <w:rsid w:val="005F5342"/>
    <w:rsid w:val="005F53EE"/>
    <w:rsid w:val="005F5435"/>
    <w:rsid w:val="005F5437"/>
    <w:rsid w:val="005F5B2D"/>
    <w:rsid w:val="005F5D0E"/>
    <w:rsid w:val="005F601E"/>
    <w:rsid w:val="005F684E"/>
    <w:rsid w:val="005F70A8"/>
    <w:rsid w:val="005F7520"/>
    <w:rsid w:val="005F7A90"/>
    <w:rsid w:val="0060001B"/>
    <w:rsid w:val="0060008D"/>
    <w:rsid w:val="0060080A"/>
    <w:rsid w:val="00600AD0"/>
    <w:rsid w:val="00600E8B"/>
    <w:rsid w:val="00600F86"/>
    <w:rsid w:val="00601090"/>
    <w:rsid w:val="0060120E"/>
    <w:rsid w:val="006012B7"/>
    <w:rsid w:val="006017FB"/>
    <w:rsid w:val="00601B61"/>
    <w:rsid w:val="0060219C"/>
    <w:rsid w:val="006022C7"/>
    <w:rsid w:val="0060253B"/>
    <w:rsid w:val="00602664"/>
    <w:rsid w:val="006027C3"/>
    <w:rsid w:val="00602B0A"/>
    <w:rsid w:val="00603D2A"/>
    <w:rsid w:val="00603DAC"/>
    <w:rsid w:val="00603EC4"/>
    <w:rsid w:val="0060407D"/>
    <w:rsid w:val="00604AF1"/>
    <w:rsid w:val="00604F7B"/>
    <w:rsid w:val="0060504C"/>
    <w:rsid w:val="006052F6"/>
    <w:rsid w:val="00606332"/>
    <w:rsid w:val="00606B85"/>
    <w:rsid w:val="00607542"/>
    <w:rsid w:val="00607D40"/>
    <w:rsid w:val="00607EF8"/>
    <w:rsid w:val="00610103"/>
    <w:rsid w:val="00610399"/>
    <w:rsid w:val="006103E8"/>
    <w:rsid w:val="006106F7"/>
    <w:rsid w:val="00610745"/>
    <w:rsid w:val="00610BFD"/>
    <w:rsid w:val="0061148F"/>
    <w:rsid w:val="006119BA"/>
    <w:rsid w:val="00612264"/>
    <w:rsid w:val="0061271B"/>
    <w:rsid w:val="00612971"/>
    <w:rsid w:val="00613BF5"/>
    <w:rsid w:val="00613C3A"/>
    <w:rsid w:val="00614279"/>
    <w:rsid w:val="00614AB0"/>
    <w:rsid w:val="00614ACA"/>
    <w:rsid w:val="00614E68"/>
    <w:rsid w:val="006157BF"/>
    <w:rsid w:val="00615CEA"/>
    <w:rsid w:val="006164A5"/>
    <w:rsid w:val="006164B9"/>
    <w:rsid w:val="0061694D"/>
    <w:rsid w:val="00616ADF"/>
    <w:rsid w:val="00617FFD"/>
    <w:rsid w:val="0062010D"/>
    <w:rsid w:val="00620794"/>
    <w:rsid w:val="00620920"/>
    <w:rsid w:val="00621086"/>
    <w:rsid w:val="0062120F"/>
    <w:rsid w:val="00621227"/>
    <w:rsid w:val="00621622"/>
    <w:rsid w:val="00621BD3"/>
    <w:rsid w:val="006224E1"/>
    <w:rsid w:val="00622634"/>
    <w:rsid w:val="006227CB"/>
    <w:rsid w:val="00622835"/>
    <w:rsid w:val="006228C7"/>
    <w:rsid w:val="00623851"/>
    <w:rsid w:val="006245EC"/>
    <w:rsid w:val="006246B2"/>
    <w:rsid w:val="006246B6"/>
    <w:rsid w:val="00624D8E"/>
    <w:rsid w:val="0062540C"/>
    <w:rsid w:val="006255F5"/>
    <w:rsid w:val="006258FD"/>
    <w:rsid w:val="00626155"/>
    <w:rsid w:val="00626278"/>
    <w:rsid w:val="00626AD3"/>
    <w:rsid w:val="00626C8F"/>
    <w:rsid w:val="00626F84"/>
    <w:rsid w:val="00627E37"/>
    <w:rsid w:val="00630847"/>
    <w:rsid w:val="006308AC"/>
    <w:rsid w:val="00630A3B"/>
    <w:rsid w:val="00630DD3"/>
    <w:rsid w:val="006315D5"/>
    <w:rsid w:val="00632112"/>
    <w:rsid w:val="00632362"/>
    <w:rsid w:val="006323A1"/>
    <w:rsid w:val="006325A8"/>
    <w:rsid w:val="00632E25"/>
    <w:rsid w:val="0063346E"/>
    <w:rsid w:val="00633A72"/>
    <w:rsid w:val="00633CD6"/>
    <w:rsid w:val="00634272"/>
    <w:rsid w:val="006344F7"/>
    <w:rsid w:val="006347D5"/>
    <w:rsid w:val="00634D03"/>
    <w:rsid w:val="00634F1A"/>
    <w:rsid w:val="006356A6"/>
    <w:rsid w:val="00635836"/>
    <w:rsid w:val="006358FC"/>
    <w:rsid w:val="00635EF4"/>
    <w:rsid w:val="00635F3F"/>
    <w:rsid w:val="006360ED"/>
    <w:rsid w:val="00636135"/>
    <w:rsid w:val="006363AB"/>
    <w:rsid w:val="006363D0"/>
    <w:rsid w:val="00637215"/>
    <w:rsid w:val="00637765"/>
    <w:rsid w:val="00637C30"/>
    <w:rsid w:val="00640089"/>
    <w:rsid w:val="0064041B"/>
    <w:rsid w:val="0064057A"/>
    <w:rsid w:val="006407D4"/>
    <w:rsid w:val="006409D1"/>
    <w:rsid w:val="00640DF0"/>
    <w:rsid w:val="00640F9D"/>
    <w:rsid w:val="0064167A"/>
    <w:rsid w:val="00641BAD"/>
    <w:rsid w:val="00641C40"/>
    <w:rsid w:val="0064212B"/>
    <w:rsid w:val="00642721"/>
    <w:rsid w:val="00642C42"/>
    <w:rsid w:val="00642FFC"/>
    <w:rsid w:val="006437F4"/>
    <w:rsid w:val="00643E17"/>
    <w:rsid w:val="00644766"/>
    <w:rsid w:val="00644D24"/>
    <w:rsid w:val="00644D9F"/>
    <w:rsid w:val="00645568"/>
    <w:rsid w:val="00645B03"/>
    <w:rsid w:val="00645B3F"/>
    <w:rsid w:val="0064732B"/>
    <w:rsid w:val="00647474"/>
    <w:rsid w:val="00647932"/>
    <w:rsid w:val="00650E21"/>
    <w:rsid w:val="006514CF"/>
    <w:rsid w:val="006520C2"/>
    <w:rsid w:val="0065210D"/>
    <w:rsid w:val="00652252"/>
    <w:rsid w:val="00652327"/>
    <w:rsid w:val="00652F37"/>
    <w:rsid w:val="00653A52"/>
    <w:rsid w:val="00653D21"/>
    <w:rsid w:val="00653D59"/>
    <w:rsid w:val="00653F07"/>
    <w:rsid w:val="006541E7"/>
    <w:rsid w:val="006545FD"/>
    <w:rsid w:val="006547BE"/>
    <w:rsid w:val="00654B7D"/>
    <w:rsid w:val="00654C69"/>
    <w:rsid w:val="006550B3"/>
    <w:rsid w:val="0065677C"/>
    <w:rsid w:val="006567E7"/>
    <w:rsid w:val="00656E85"/>
    <w:rsid w:val="00657073"/>
    <w:rsid w:val="0065784D"/>
    <w:rsid w:val="00657B06"/>
    <w:rsid w:val="00657DC8"/>
    <w:rsid w:val="00660A46"/>
    <w:rsid w:val="00660EFA"/>
    <w:rsid w:val="0066147D"/>
    <w:rsid w:val="006614C3"/>
    <w:rsid w:val="0066173C"/>
    <w:rsid w:val="00662107"/>
    <w:rsid w:val="00662112"/>
    <w:rsid w:val="006623BA"/>
    <w:rsid w:val="00662660"/>
    <w:rsid w:val="00662732"/>
    <w:rsid w:val="00662EA1"/>
    <w:rsid w:val="00662EAA"/>
    <w:rsid w:val="006630C9"/>
    <w:rsid w:val="006636FB"/>
    <w:rsid w:val="00663800"/>
    <w:rsid w:val="00664320"/>
    <w:rsid w:val="006644A0"/>
    <w:rsid w:val="006648FB"/>
    <w:rsid w:val="00664FF6"/>
    <w:rsid w:val="0066508A"/>
    <w:rsid w:val="00665359"/>
    <w:rsid w:val="0066569A"/>
    <w:rsid w:val="0066572B"/>
    <w:rsid w:val="00665977"/>
    <w:rsid w:val="006660AF"/>
    <w:rsid w:val="006662BB"/>
    <w:rsid w:val="00666515"/>
    <w:rsid w:val="00666B88"/>
    <w:rsid w:val="00666BE4"/>
    <w:rsid w:val="006675DD"/>
    <w:rsid w:val="00667758"/>
    <w:rsid w:val="00667E2E"/>
    <w:rsid w:val="00667ED6"/>
    <w:rsid w:val="006702BA"/>
    <w:rsid w:val="00670314"/>
    <w:rsid w:val="006704C9"/>
    <w:rsid w:val="00670589"/>
    <w:rsid w:val="00670A91"/>
    <w:rsid w:val="00670AFB"/>
    <w:rsid w:val="00670FCB"/>
    <w:rsid w:val="00671003"/>
    <w:rsid w:val="00671570"/>
    <w:rsid w:val="006719BE"/>
    <w:rsid w:val="00671A43"/>
    <w:rsid w:val="00672B61"/>
    <w:rsid w:val="00672E18"/>
    <w:rsid w:val="00672E81"/>
    <w:rsid w:val="006731DF"/>
    <w:rsid w:val="00673A89"/>
    <w:rsid w:val="00673EF8"/>
    <w:rsid w:val="006742FD"/>
    <w:rsid w:val="00674BC8"/>
    <w:rsid w:val="00674D5E"/>
    <w:rsid w:val="00674F94"/>
    <w:rsid w:val="00675449"/>
    <w:rsid w:val="0067562E"/>
    <w:rsid w:val="00676009"/>
    <w:rsid w:val="006762EE"/>
    <w:rsid w:val="006763B3"/>
    <w:rsid w:val="00676AF4"/>
    <w:rsid w:val="00676B35"/>
    <w:rsid w:val="00676C4D"/>
    <w:rsid w:val="00676CB3"/>
    <w:rsid w:val="00676D5B"/>
    <w:rsid w:val="00676F0C"/>
    <w:rsid w:val="0067727A"/>
    <w:rsid w:val="006775A0"/>
    <w:rsid w:val="00677C63"/>
    <w:rsid w:val="00677EB8"/>
    <w:rsid w:val="00677EF9"/>
    <w:rsid w:val="00680301"/>
    <w:rsid w:val="00680392"/>
    <w:rsid w:val="006806A1"/>
    <w:rsid w:val="00680AD2"/>
    <w:rsid w:val="006811A1"/>
    <w:rsid w:val="0068165F"/>
    <w:rsid w:val="006816C1"/>
    <w:rsid w:val="00682141"/>
    <w:rsid w:val="006823F8"/>
    <w:rsid w:val="0068260D"/>
    <w:rsid w:val="00682A0E"/>
    <w:rsid w:val="00682DA5"/>
    <w:rsid w:val="00683027"/>
    <w:rsid w:val="00683958"/>
    <w:rsid w:val="00683D38"/>
    <w:rsid w:val="00683DED"/>
    <w:rsid w:val="0068429E"/>
    <w:rsid w:val="006843C1"/>
    <w:rsid w:val="0068448F"/>
    <w:rsid w:val="006846B9"/>
    <w:rsid w:val="006847A0"/>
    <w:rsid w:val="0068527D"/>
    <w:rsid w:val="00685349"/>
    <w:rsid w:val="006853B6"/>
    <w:rsid w:val="006857E8"/>
    <w:rsid w:val="00685A90"/>
    <w:rsid w:val="0068629B"/>
    <w:rsid w:val="00686A6A"/>
    <w:rsid w:val="00686ED1"/>
    <w:rsid w:val="00686F32"/>
    <w:rsid w:val="00687040"/>
    <w:rsid w:val="00687657"/>
    <w:rsid w:val="0068797F"/>
    <w:rsid w:val="00690C88"/>
    <w:rsid w:val="0069236D"/>
    <w:rsid w:val="0069260C"/>
    <w:rsid w:val="0069282E"/>
    <w:rsid w:val="00692B9E"/>
    <w:rsid w:val="00693233"/>
    <w:rsid w:val="00693262"/>
    <w:rsid w:val="0069327C"/>
    <w:rsid w:val="006935A0"/>
    <w:rsid w:val="006936FE"/>
    <w:rsid w:val="0069382E"/>
    <w:rsid w:val="00693923"/>
    <w:rsid w:val="006940FB"/>
    <w:rsid w:val="0069490B"/>
    <w:rsid w:val="00694A4A"/>
    <w:rsid w:val="006955EF"/>
    <w:rsid w:val="00696244"/>
    <w:rsid w:val="0069627C"/>
    <w:rsid w:val="0069630A"/>
    <w:rsid w:val="0069694F"/>
    <w:rsid w:val="006974A3"/>
    <w:rsid w:val="0069752D"/>
    <w:rsid w:val="00697676"/>
    <w:rsid w:val="00697BFA"/>
    <w:rsid w:val="006A03CB"/>
    <w:rsid w:val="006A131C"/>
    <w:rsid w:val="006A1380"/>
    <w:rsid w:val="006A19C1"/>
    <w:rsid w:val="006A1A51"/>
    <w:rsid w:val="006A1B5C"/>
    <w:rsid w:val="006A230D"/>
    <w:rsid w:val="006A2724"/>
    <w:rsid w:val="006A2EC7"/>
    <w:rsid w:val="006A2F10"/>
    <w:rsid w:val="006A2F3D"/>
    <w:rsid w:val="006A309C"/>
    <w:rsid w:val="006A3185"/>
    <w:rsid w:val="006A3740"/>
    <w:rsid w:val="006A39C6"/>
    <w:rsid w:val="006A3B36"/>
    <w:rsid w:val="006A3F3D"/>
    <w:rsid w:val="006A418B"/>
    <w:rsid w:val="006A4419"/>
    <w:rsid w:val="006A4673"/>
    <w:rsid w:val="006A4B2C"/>
    <w:rsid w:val="006A4EFC"/>
    <w:rsid w:val="006A6668"/>
    <w:rsid w:val="006A6AE6"/>
    <w:rsid w:val="006A6B97"/>
    <w:rsid w:val="006A6E5A"/>
    <w:rsid w:val="006A7521"/>
    <w:rsid w:val="006A79F0"/>
    <w:rsid w:val="006A7D64"/>
    <w:rsid w:val="006A7DBF"/>
    <w:rsid w:val="006A7E35"/>
    <w:rsid w:val="006A7E64"/>
    <w:rsid w:val="006B0A11"/>
    <w:rsid w:val="006B0A46"/>
    <w:rsid w:val="006B0D6E"/>
    <w:rsid w:val="006B13B1"/>
    <w:rsid w:val="006B173E"/>
    <w:rsid w:val="006B1BFA"/>
    <w:rsid w:val="006B1E5F"/>
    <w:rsid w:val="006B21F4"/>
    <w:rsid w:val="006B227E"/>
    <w:rsid w:val="006B22A2"/>
    <w:rsid w:val="006B2366"/>
    <w:rsid w:val="006B2850"/>
    <w:rsid w:val="006B314F"/>
    <w:rsid w:val="006B3553"/>
    <w:rsid w:val="006B38B4"/>
    <w:rsid w:val="006B3B37"/>
    <w:rsid w:val="006B3B6A"/>
    <w:rsid w:val="006B4A00"/>
    <w:rsid w:val="006B520A"/>
    <w:rsid w:val="006B5769"/>
    <w:rsid w:val="006B5A3D"/>
    <w:rsid w:val="006B5C62"/>
    <w:rsid w:val="006B5E06"/>
    <w:rsid w:val="006B64E7"/>
    <w:rsid w:val="006B6511"/>
    <w:rsid w:val="006B6E08"/>
    <w:rsid w:val="006B77C3"/>
    <w:rsid w:val="006B7EA0"/>
    <w:rsid w:val="006C09A0"/>
    <w:rsid w:val="006C17C0"/>
    <w:rsid w:val="006C1831"/>
    <w:rsid w:val="006C18FF"/>
    <w:rsid w:val="006C25D8"/>
    <w:rsid w:val="006C2A6D"/>
    <w:rsid w:val="006C2DDF"/>
    <w:rsid w:val="006C30C8"/>
    <w:rsid w:val="006C3F37"/>
    <w:rsid w:val="006C4578"/>
    <w:rsid w:val="006C45DA"/>
    <w:rsid w:val="006C4824"/>
    <w:rsid w:val="006C4859"/>
    <w:rsid w:val="006C49AD"/>
    <w:rsid w:val="006C4C10"/>
    <w:rsid w:val="006C4E1B"/>
    <w:rsid w:val="006C5F4A"/>
    <w:rsid w:val="006C6654"/>
    <w:rsid w:val="006C6BEA"/>
    <w:rsid w:val="006C715F"/>
    <w:rsid w:val="006C7606"/>
    <w:rsid w:val="006C77F8"/>
    <w:rsid w:val="006D0282"/>
    <w:rsid w:val="006D02C7"/>
    <w:rsid w:val="006D02D3"/>
    <w:rsid w:val="006D04CD"/>
    <w:rsid w:val="006D0535"/>
    <w:rsid w:val="006D07F6"/>
    <w:rsid w:val="006D0C2E"/>
    <w:rsid w:val="006D0D11"/>
    <w:rsid w:val="006D12FB"/>
    <w:rsid w:val="006D180C"/>
    <w:rsid w:val="006D24D5"/>
    <w:rsid w:val="006D2709"/>
    <w:rsid w:val="006D2918"/>
    <w:rsid w:val="006D296B"/>
    <w:rsid w:val="006D2983"/>
    <w:rsid w:val="006D2C8C"/>
    <w:rsid w:val="006D2CB3"/>
    <w:rsid w:val="006D2CE9"/>
    <w:rsid w:val="006D2E26"/>
    <w:rsid w:val="006D2F93"/>
    <w:rsid w:val="006D3360"/>
    <w:rsid w:val="006D365E"/>
    <w:rsid w:val="006D36D6"/>
    <w:rsid w:val="006D391C"/>
    <w:rsid w:val="006D3942"/>
    <w:rsid w:val="006D3AB1"/>
    <w:rsid w:val="006D3BDA"/>
    <w:rsid w:val="006D425D"/>
    <w:rsid w:val="006D4877"/>
    <w:rsid w:val="006D488C"/>
    <w:rsid w:val="006D4AC0"/>
    <w:rsid w:val="006D5094"/>
    <w:rsid w:val="006D5753"/>
    <w:rsid w:val="006D5872"/>
    <w:rsid w:val="006D592B"/>
    <w:rsid w:val="006D5BE3"/>
    <w:rsid w:val="006D5FB5"/>
    <w:rsid w:val="006D6039"/>
    <w:rsid w:val="006D6867"/>
    <w:rsid w:val="006D7263"/>
    <w:rsid w:val="006D72FF"/>
    <w:rsid w:val="006D7554"/>
    <w:rsid w:val="006D75AE"/>
    <w:rsid w:val="006D7A10"/>
    <w:rsid w:val="006D7C1E"/>
    <w:rsid w:val="006D7DB8"/>
    <w:rsid w:val="006D7F4F"/>
    <w:rsid w:val="006E0705"/>
    <w:rsid w:val="006E0BC9"/>
    <w:rsid w:val="006E0E1A"/>
    <w:rsid w:val="006E15FA"/>
    <w:rsid w:val="006E1762"/>
    <w:rsid w:val="006E1D01"/>
    <w:rsid w:val="006E2293"/>
    <w:rsid w:val="006E22E2"/>
    <w:rsid w:val="006E24CF"/>
    <w:rsid w:val="006E24E5"/>
    <w:rsid w:val="006E272B"/>
    <w:rsid w:val="006E291F"/>
    <w:rsid w:val="006E2BBD"/>
    <w:rsid w:val="006E2BF3"/>
    <w:rsid w:val="006E2C4F"/>
    <w:rsid w:val="006E2F7F"/>
    <w:rsid w:val="006E3316"/>
    <w:rsid w:val="006E361F"/>
    <w:rsid w:val="006E3A3D"/>
    <w:rsid w:val="006E3FE6"/>
    <w:rsid w:val="006E4784"/>
    <w:rsid w:val="006E4983"/>
    <w:rsid w:val="006E504C"/>
    <w:rsid w:val="006E5C4E"/>
    <w:rsid w:val="006E64C9"/>
    <w:rsid w:val="006E673F"/>
    <w:rsid w:val="006E6DCB"/>
    <w:rsid w:val="006E6FEB"/>
    <w:rsid w:val="006E779C"/>
    <w:rsid w:val="006E78A1"/>
    <w:rsid w:val="006E7BF9"/>
    <w:rsid w:val="006F0E78"/>
    <w:rsid w:val="006F0FD9"/>
    <w:rsid w:val="006F1451"/>
    <w:rsid w:val="006F153A"/>
    <w:rsid w:val="006F1597"/>
    <w:rsid w:val="006F1B2E"/>
    <w:rsid w:val="006F1C01"/>
    <w:rsid w:val="006F1CEB"/>
    <w:rsid w:val="006F2750"/>
    <w:rsid w:val="006F2B01"/>
    <w:rsid w:val="006F2DC6"/>
    <w:rsid w:val="006F3C02"/>
    <w:rsid w:val="006F3F47"/>
    <w:rsid w:val="006F4258"/>
    <w:rsid w:val="006F5063"/>
    <w:rsid w:val="006F51A2"/>
    <w:rsid w:val="006F55A0"/>
    <w:rsid w:val="006F5A34"/>
    <w:rsid w:val="006F5A88"/>
    <w:rsid w:val="006F5C3F"/>
    <w:rsid w:val="006F611A"/>
    <w:rsid w:val="006F6438"/>
    <w:rsid w:val="006F6B9B"/>
    <w:rsid w:val="006F6BB6"/>
    <w:rsid w:val="006F6EB0"/>
    <w:rsid w:val="006F6ECE"/>
    <w:rsid w:val="006F7067"/>
    <w:rsid w:val="007001C0"/>
    <w:rsid w:val="007001D8"/>
    <w:rsid w:val="00700217"/>
    <w:rsid w:val="0070030B"/>
    <w:rsid w:val="00700401"/>
    <w:rsid w:val="00700630"/>
    <w:rsid w:val="00700A29"/>
    <w:rsid w:val="00700AD0"/>
    <w:rsid w:val="00700CA8"/>
    <w:rsid w:val="00700FBA"/>
    <w:rsid w:val="00701058"/>
    <w:rsid w:val="00701142"/>
    <w:rsid w:val="0070152C"/>
    <w:rsid w:val="007015D8"/>
    <w:rsid w:val="007016C8"/>
    <w:rsid w:val="007020F7"/>
    <w:rsid w:val="00702183"/>
    <w:rsid w:val="007021A3"/>
    <w:rsid w:val="0070232D"/>
    <w:rsid w:val="007027E9"/>
    <w:rsid w:val="00702C03"/>
    <w:rsid w:val="00702C9F"/>
    <w:rsid w:val="00702EE2"/>
    <w:rsid w:val="00703134"/>
    <w:rsid w:val="007036B6"/>
    <w:rsid w:val="00703B32"/>
    <w:rsid w:val="00703F75"/>
    <w:rsid w:val="007048C9"/>
    <w:rsid w:val="00704D7B"/>
    <w:rsid w:val="007051AC"/>
    <w:rsid w:val="007062F1"/>
    <w:rsid w:val="00706A58"/>
    <w:rsid w:val="00706F9A"/>
    <w:rsid w:val="0070704B"/>
    <w:rsid w:val="0070709C"/>
    <w:rsid w:val="0070760F"/>
    <w:rsid w:val="0070798B"/>
    <w:rsid w:val="007079BF"/>
    <w:rsid w:val="00710152"/>
    <w:rsid w:val="0071049F"/>
    <w:rsid w:val="00710802"/>
    <w:rsid w:val="00710CCC"/>
    <w:rsid w:val="00710F8C"/>
    <w:rsid w:val="00710FC3"/>
    <w:rsid w:val="007114B0"/>
    <w:rsid w:val="00711AC1"/>
    <w:rsid w:val="00711C8A"/>
    <w:rsid w:val="00713063"/>
    <w:rsid w:val="00713456"/>
    <w:rsid w:val="00713565"/>
    <w:rsid w:val="00713717"/>
    <w:rsid w:val="00713A8A"/>
    <w:rsid w:val="0071404C"/>
    <w:rsid w:val="007140B3"/>
    <w:rsid w:val="0071447E"/>
    <w:rsid w:val="00714953"/>
    <w:rsid w:val="00714FEE"/>
    <w:rsid w:val="0071509A"/>
    <w:rsid w:val="0071525A"/>
    <w:rsid w:val="007152BF"/>
    <w:rsid w:val="0071559B"/>
    <w:rsid w:val="007159DE"/>
    <w:rsid w:val="00716016"/>
    <w:rsid w:val="00716B12"/>
    <w:rsid w:val="00716BBC"/>
    <w:rsid w:val="00716C8B"/>
    <w:rsid w:val="00716DB4"/>
    <w:rsid w:val="00717467"/>
    <w:rsid w:val="0071771F"/>
    <w:rsid w:val="00720323"/>
    <w:rsid w:val="007203D8"/>
    <w:rsid w:val="007204AD"/>
    <w:rsid w:val="007206EA"/>
    <w:rsid w:val="00720BF9"/>
    <w:rsid w:val="00721234"/>
    <w:rsid w:val="0072126C"/>
    <w:rsid w:val="007217BE"/>
    <w:rsid w:val="0072205F"/>
    <w:rsid w:val="007223B7"/>
    <w:rsid w:val="007229C1"/>
    <w:rsid w:val="0072308D"/>
    <w:rsid w:val="0072332E"/>
    <w:rsid w:val="00723519"/>
    <w:rsid w:val="00723549"/>
    <w:rsid w:val="00724015"/>
    <w:rsid w:val="00724645"/>
    <w:rsid w:val="0072465C"/>
    <w:rsid w:val="00724F5B"/>
    <w:rsid w:val="0072545C"/>
    <w:rsid w:val="007259DE"/>
    <w:rsid w:val="00725A2E"/>
    <w:rsid w:val="00726353"/>
    <w:rsid w:val="0072649F"/>
    <w:rsid w:val="00726B0C"/>
    <w:rsid w:val="00726D18"/>
    <w:rsid w:val="00727DA6"/>
    <w:rsid w:val="00727E5A"/>
    <w:rsid w:val="00727E78"/>
    <w:rsid w:val="0073042D"/>
    <w:rsid w:val="00730648"/>
    <w:rsid w:val="0073069D"/>
    <w:rsid w:val="00730E04"/>
    <w:rsid w:val="00730FC0"/>
    <w:rsid w:val="00731026"/>
    <w:rsid w:val="007315A3"/>
    <w:rsid w:val="00731C58"/>
    <w:rsid w:val="00732247"/>
    <w:rsid w:val="007323C9"/>
    <w:rsid w:val="00732596"/>
    <w:rsid w:val="007326A3"/>
    <w:rsid w:val="00732772"/>
    <w:rsid w:val="007328C3"/>
    <w:rsid w:val="00732EEA"/>
    <w:rsid w:val="00732F2C"/>
    <w:rsid w:val="00732FB6"/>
    <w:rsid w:val="00732FBF"/>
    <w:rsid w:val="0073324D"/>
    <w:rsid w:val="007337EE"/>
    <w:rsid w:val="0073424E"/>
    <w:rsid w:val="00734355"/>
    <w:rsid w:val="00734610"/>
    <w:rsid w:val="00734819"/>
    <w:rsid w:val="0073484D"/>
    <w:rsid w:val="00734931"/>
    <w:rsid w:val="00734C75"/>
    <w:rsid w:val="00734EEE"/>
    <w:rsid w:val="007357CA"/>
    <w:rsid w:val="007357D2"/>
    <w:rsid w:val="007369D7"/>
    <w:rsid w:val="00736DD4"/>
    <w:rsid w:val="00736EDC"/>
    <w:rsid w:val="007371E2"/>
    <w:rsid w:val="00737448"/>
    <w:rsid w:val="0073747B"/>
    <w:rsid w:val="00737740"/>
    <w:rsid w:val="00740558"/>
    <w:rsid w:val="00740780"/>
    <w:rsid w:val="00740788"/>
    <w:rsid w:val="007408E1"/>
    <w:rsid w:val="00740EBB"/>
    <w:rsid w:val="00740F02"/>
    <w:rsid w:val="00740F2C"/>
    <w:rsid w:val="007418A1"/>
    <w:rsid w:val="00741A80"/>
    <w:rsid w:val="007420A1"/>
    <w:rsid w:val="007424DA"/>
    <w:rsid w:val="0074288B"/>
    <w:rsid w:val="007428A4"/>
    <w:rsid w:val="007428A6"/>
    <w:rsid w:val="00742AAB"/>
    <w:rsid w:val="00742CF3"/>
    <w:rsid w:val="0074393C"/>
    <w:rsid w:val="0074393F"/>
    <w:rsid w:val="00743E18"/>
    <w:rsid w:val="00744ACF"/>
    <w:rsid w:val="007450B0"/>
    <w:rsid w:val="007452DD"/>
    <w:rsid w:val="00745CB2"/>
    <w:rsid w:val="00745E68"/>
    <w:rsid w:val="0074620A"/>
    <w:rsid w:val="007463AC"/>
    <w:rsid w:val="00746543"/>
    <w:rsid w:val="007465D7"/>
    <w:rsid w:val="00746C1C"/>
    <w:rsid w:val="00746C76"/>
    <w:rsid w:val="00746E04"/>
    <w:rsid w:val="00747158"/>
    <w:rsid w:val="00747463"/>
    <w:rsid w:val="00747752"/>
    <w:rsid w:val="00747A65"/>
    <w:rsid w:val="00747AE4"/>
    <w:rsid w:val="00747E23"/>
    <w:rsid w:val="007509E5"/>
    <w:rsid w:val="00750E36"/>
    <w:rsid w:val="00750FEF"/>
    <w:rsid w:val="00751227"/>
    <w:rsid w:val="00751463"/>
    <w:rsid w:val="00751704"/>
    <w:rsid w:val="00751AEF"/>
    <w:rsid w:val="00751FD1"/>
    <w:rsid w:val="007526A9"/>
    <w:rsid w:val="007526B9"/>
    <w:rsid w:val="00752C64"/>
    <w:rsid w:val="00752D44"/>
    <w:rsid w:val="007530E4"/>
    <w:rsid w:val="007536B8"/>
    <w:rsid w:val="00753C91"/>
    <w:rsid w:val="0075415E"/>
    <w:rsid w:val="00754289"/>
    <w:rsid w:val="00754A72"/>
    <w:rsid w:val="00756483"/>
    <w:rsid w:val="00756B3D"/>
    <w:rsid w:val="00757478"/>
    <w:rsid w:val="00760179"/>
    <w:rsid w:val="007608DA"/>
    <w:rsid w:val="0076150D"/>
    <w:rsid w:val="0076185C"/>
    <w:rsid w:val="00762712"/>
    <w:rsid w:val="00762761"/>
    <w:rsid w:val="007628EA"/>
    <w:rsid w:val="00762D62"/>
    <w:rsid w:val="00762E01"/>
    <w:rsid w:val="00763B19"/>
    <w:rsid w:val="00763B76"/>
    <w:rsid w:val="00763E9C"/>
    <w:rsid w:val="007641F0"/>
    <w:rsid w:val="00764422"/>
    <w:rsid w:val="007644B5"/>
    <w:rsid w:val="00764534"/>
    <w:rsid w:val="007648E4"/>
    <w:rsid w:val="00765016"/>
    <w:rsid w:val="00765070"/>
    <w:rsid w:val="00765244"/>
    <w:rsid w:val="007658F7"/>
    <w:rsid w:val="00765EF0"/>
    <w:rsid w:val="007661A9"/>
    <w:rsid w:val="00766244"/>
    <w:rsid w:val="00766927"/>
    <w:rsid w:val="00766DF9"/>
    <w:rsid w:val="00766E74"/>
    <w:rsid w:val="00766F6D"/>
    <w:rsid w:val="00767FBC"/>
    <w:rsid w:val="007700C7"/>
    <w:rsid w:val="0077070F"/>
    <w:rsid w:val="0077073E"/>
    <w:rsid w:val="00770DFC"/>
    <w:rsid w:val="007710B7"/>
    <w:rsid w:val="007711A7"/>
    <w:rsid w:val="00771A2C"/>
    <w:rsid w:val="00772233"/>
    <w:rsid w:val="0077240B"/>
    <w:rsid w:val="00772445"/>
    <w:rsid w:val="00772563"/>
    <w:rsid w:val="00772A0C"/>
    <w:rsid w:val="00772F89"/>
    <w:rsid w:val="0077341B"/>
    <w:rsid w:val="00773895"/>
    <w:rsid w:val="00773D98"/>
    <w:rsid w:val="007747CD"/>
    <w:rsid w:val="00774D3D"/>
    <w:rsid w:val="00774DC0"/>
    <w:rsid w:val="0077511C"/>
    <w:rsid w:val="007754A1"/>
    <w:rsid w:val="007755DC"/>
    <w:rsid w:val="00775943"/>
    <w:rsid w:val="00775F78"/>
    <w:rsid w:val="00775F81"/>
    <w:rsid w:val="007766E9"/>
    <w:rsid w:val="0077677F"/>
    <w:rsid w:val="00776835"/>
    <w:rsid w:val="00776C39"/>
    <w:rsid w:val="00776D07"/>
    <w:rsid w:val="00776D3D"/>
    <w:rsid w:val="00777A6B"/>
    <w:rsid w:val="00777ADD"/>
    <w:rsid w:val="007809D8"/>
    <w:rsid w:val="00780D08"/>
    <w:rsid w:val="00780FFB"/>
    <w:rsid w:val="00781344"/>
    <w:rsid w:val="00781752"/>
    <w:rsid w:val="007818DE"/>
    <w:rsid w:val="00781D20"/>
    <w:rsid w:val="00781EE6"/>
    <w:rsid w:val="00781F5E"/>
    <w:rsid w:val="0078241E"/>
    <w:rsid w:val="0078297D"/>
    <w:rsid w:val="007829B6"/>
    <w:rsid w:val="00782D05"/>
    <w:rsid w:val="007830F0"/>
    <w:rsid w:val="0078310B"/>
    <w:rsid w:val="00783CBD"/>
    <w:rsid w:val="00783E40"/>
    <w:rsid w:val="00783FCF"/>
    <w:rsid w:val="00784243"/>
    <w:rsid w:val="007844D2"/>
    <w:rsid w:val="007845A2"/>
    <w:rsid w:val="00784794"/>
    <w:rsid w:val="00784874"/>
    <w:rsid w:val="00784F61"/>
    <w:rsid w:val="007852FB"/>
    <w:rsid w:val="00785709"/>
    <w:rsid w:val="0078683D"/>
    <w:rsid w:val="00786C4F"/>
    <w:rsid w:val="007870F9"/>
    <w:rsid w:val="007876EB"/>
    <w:rsid w:val="0078780D"/>
    <w:rsid w:val="00787938"/>
    <w:rsid w:val="00787F6B"/>
    <w:rsid w:val="007902E6"/>
    <w:rsid w:val="00790410"/>
    <w:rsid w:val="007909A7"/>
    <w:rsid w:val="00790ED9"/>
    <w:rsid w:val="00790FA8"/>
    <w:rsid w:val="007918BB"/>
    <w:rsid w:val="00791ED1"/>
    <w:rsid w:val="007920AA"/>
    <w:rsid w:val="0079231B"/>
    <w:rsid w:val="007929FB"/>
    <w:rsid w:val="00792C4B"/>
    <w:rsid w:val="00792D12"/>
    <w:rsid w:val="00793580"/>
    <w:rsid w:val="007935C2"/>
    <w:rsid w:val="00794963"/>
    <w:rsid w:val="007949E4"/>
    <w:rsid w:val="00794DBF"/>
    <w:rsid w:val="00795381"/>
    <w:rsid w:val="00796351"/>
    <w:rsid w:val="00796506"/>
    <w:rsid w:val="007965BB"/>
    <w:rsid w:val="007968DC"/>
    <w:rsid w:val="00796FBC"/>
    <w:rsid w:val="00797245"/>
    <w:rsid w:val="007A057A"/>
    <w:rsid w:val="007A0C0C"/>
    <w:rsid w:val="007A1B3B"/>
    <w:rsid w:val="007A1D9C"/>
    <w:rsid w:val="007A24F1"/>
    <w:rsid w:val="007A277F"/>
    <w:rsid w:val="007A29CA"/>
    <w:rsid w:val="007A31D3"/>
    <w:rsid w:val="007A352F"/>
    <w:rsid w:val="007A36AB"/>
    <w:rsid w:val="007A3F72"/>
    <w:rsid w:val="007A3F92"/>
    <w:rsid w:val="007A461C"/>
    <w:rsid w:val="007A503E"/>
    <w:rsid w:val="007A537C"/>
    <w:rsid w:val="007A5E27"/>
    <w:rsid w:val="007A5E70"/>
    <w:rsid w:val="007A5EB5"/>
    <w:rsid w:val="007A648C"/>
    <w:rsid w:val="007A651F"/>
    <w:rsid w:val="007A654B"/>
    <w:rsid w:val="007A66C0"/>
    <w:rsid w:val="007A6A26"/>
    <w:rsid w:val="007A6CC4"/>
    <w:rsid w:val="007A756A"/>
    <w:rsid w:val="007B03D5"/>
    <w:rsid w:val="007B040B"/>
    <w:rsid w:val="007B1C87"/>
    <w:rsid w:val="007B1E5E"/>
    <w:rsid w:val="007B22DF"/>
    <w:rsid w:val="007B2521"/>
    <w:rsid w:val="007B2D94"/>
    <w:rsid w:val="007B361D"/>
    <w:rsid w:val="007B3927"/>
    <w:rsid w:val="007B3B59"/>
    <w:rsid w:val="007B3E8E"/>
    <w:rsid w:val="007B4047"/>
    <w:rsid w:val="007B4088"/>
    <w:rsid w:val="007B40E1"/>
    <w:rsid w:val="007B4495"/>
    <w:rsid w:val="007B4594"/>
    <w:rsid w:val="007B4B31"/>
    <w:rsid w:val="007B4CCF"/>
    <w:rsid w:val="007B54C8"/>
    <w:rsid w:val="007B56DC"/>
    <w:rsid w:val="007B5ADA"/>
    <w:rsid w:val="007B6449"/>
    <w:rsid w:val="007B65E5"/>
    <w:rsid w:val="007B726B"/>
    <w:rsid w:val="007B7E91"/>
    <w:rsid w:val="007C060F"/>
    <w:rsid w:val="007C061B"/>
    <w:rsid w:val="007C092F"/>
    <w:rsid w:val="007C0C2A"/>
    <w:rsid w:val="007C0C76"/>
    <w:rsid w:val="007C0C85"/>
    <w:rsid w:val="007C15F1"/>
    <w:rsid w:val="007C1CAE"/>
    <w:rsid w:val="007C1CD6"/>
    <w:rsid w:val="007C2641"/>
    <w:rsid w:val="007C2749"/>
    <w:rsid w:val="007C2C22"/>
    <w:rsid w:val="007C2D1C"/>
    <w:rsid w:val="007C2FAE"/>
    <w:rsid w:val="007C2FAF"/>
    <w:rsid w:val="007C33DC"/>
    <w:rsid w:val="007C3837"/>
    <w:rsid w:val="007C3E63"/>
    <w:rsid w:val="007C4230"/>
    <w:rsid w:val="007C4A5B"/>
    <w:rsid w:val="007C4AA0"/>
    <w:rsid w:val="007C4CE1"/>
    <w:rsid w:val="007C4E03"/>
    <w:rsid w:val="007C5136"/>
    <w:rsid w:val="007C516B"/>
    <w:rsid w:val="007C5252"/>
    <w:rsid w:val="007C52D0"/>
    <w:rsid w:val="007C55FD"/>
    <w:rsid w:val="007C590A"/>
    <w:rsid w:val="007C62EA"/>
    <w:rsid w:val="007C645C"/>
    <w:rsid w:val="007C7237"/>
    <w:rsid w:val="007C79A8"/>
    <w:rsid w:val="007C7E5B"/>
    <w:rsid w:val="007D008E"/>
    <w:rsid w:val="007D04E6"/>
    <w:rsid w:val="007D0ED6"/>
    <w:rsid w:val="007D0EE4"/>
    <w:rsid w:val="007D0F62"/>
    <w:rsid w:val="007D14B6"/>
    <w:rsid w:val="007D1534"/>
    <w:rsid w:val="007D15D3"/>
    <w:rsid w:val="007D169C"/>
    <w:rsid w:val="007D1834"/>
    <w:rsid w:val="007D1A8A"/>
    <w:rsid w:val="007D2028"/>
    <w:rsid w:val="007D2202"/>
    <w:rsid w:val="007D24F6"/>
    <w:rsid w:val="007D250B"/>
    <w:rsid w:val="007D2660"/>
    <w:rsid w:val="007D2B05"/>
    <w:rsid w:val="007D3049"/>
    <w:rsid w:val="007D379A"/>
    <w:rsid w:val="007D39CA"/>
    <w:rsid w:val="007D3FC1"/>
    <w:rsid w:val="007D4393"/>
    <w:rsid w:val="007D46E9"/>
    <w:rsid w:val="007D4915"/>
    <w:rsid w:val="007D4BA0"/>
    <w:rsid w:val="007D59F0"/>
    <w:rsid w:val="007D5F6C"/>
    <w:rsid w:val="007D66E9"/>
    <w:rsid w:val="007D6E24"/>
    <w:rsid w:val="007D6F5B"/>
    <w:rsid w:val="007D6FA0"/>
    <w:rsid w:val="007D7168"/>
    <w:rsid w:val="007D73E8"/>
    <w:rsid w:val="007D7943"/>
    <w:rsid w:val="007D7E2A"/>
    <w:rsid w:val="007D7F50"/>
    <w:rsid w:val="007E029A"/>
    <w:rsid w:val="007E0622"/>
    <w:rsid w:val="007E08C7"/>
    <w:rsid w:val="007E0910"/>
    <w:rsid w:val="007E09F9"/>
    <w:rsid w:val="007E0A06"/>
    <w:rsid w:val="007E145B"/>
    <w:rsid w:val="007E1ED9"/>
    <w:rsid w:val="007E25D1"/>
    <w:rsid w:val="007E2DB8"/>
    <w:rsid w:val="007E2F37"/>
    <w:rsid w:val="007E3238"/>
    <w:rsid w:val="007E378B"/>
    <w:rsid w:val="007E3D42"/>
    <w:rsid w:val="007E40C8"/>
    <w:rsid w:val="007E4D09"/>
    <w:rsid w:val="007E4F1E"/>
    <w:rsid w:val="007E54A3"/>
    <w:rsid w:val="007E5C72"/>
    <w:rsid w:val="007E60F5"/>
    <w:rsid w:val="007E6C6A"/>
    <w:rsid w:val="007E70E8"/>
    <w:rsid w:val="007E722B"/>
    <w:rsid w:val="007E7277"/>
    <w:rsid w:val="007E7A43"/>
    <w:rsid w:val="007E7F02"/>
    <w:rsid w:val="007F0022"/>
    <w:rsid w:val="007F093D"/>
    <w:rsid w:val="007F0D53"/>
    <w:rsid w:val="007F12B9"/>
    <w:rsid w:val="007F141F"/>
    <w:rsid w:val="007F18C3"/>
    <w:rsid w:val="007F1AB7"/>
    <w:rsid w:val="007F1D14"/>
    <w:rsid w:val="007F2022"/>
    <w:rsid w:val="007F2537"/>
    <w:rsid w:val="007F25D1"/>
    <w:rsid w:val="007F291F"/>
    <w:rsid w:val="007F2983"/>
    <w:rsid w:val="007F29DD"/>
    <w:rsid w:val="007F2AB6"/>
    <w:rsid w:val="007F305A"/>
    <w:rsid w:val="007F33E0"/>
    <w:rsid w:val="007F366A"/>
    <w:rsid w:val="007F38B1"/>
    <w:rsid w:val="007F3AF6"/>
    <w:rsid w:val="007F4599"/>
    <w:rsid w:val="007F494A"/>
    <w:rsid w:val="007F4D23"/>
    <w:rsid w:val="007F4FF4"/>
    <w:rsid w:val="007F6206"/>
    <w:rsid w:val="007F645B"/>
    <w:rsid w:val="007F66D0"/>
    <w:rsid w:val="007F6E87"/>
    <w:rsid w:val="007F7154"/>
    <w:rsid w:val="007F7223"/>
    <w:rsid w:val="007F7554"/>
    <w:rsid w:val="007F7909"/>
    <w:rsid w:val="007F7E3E"/>
    <w:rsid w:val="007F7FC9"/>
    <w:rsid w:val="0080001C"/>
    <w:rsid w:val="008004C9"/>
    <w:rsid w:val="00800798"/>
    <w:rsid w:val="00800A5B"/>
    <w:rsid w:val="00800D7C"/>
    <w:rsid w:val="00801179"/>
    <w:rsid w:val="008012A5"/>
    <w:rsid w:val="0080132B"/>
    <w:rsid w:val="00801633"/>
    <w:rsid w:val="00801D39"/>
    <w:rsid w:val="00802001"/>
    <w:rsid w:val="008025E1"/>
    <w:rsid w:val="00803007"/>
    <w:rsid w:val="00803B25"/>
    <w:rsid w:val="00804158"/>
    <w:rsid w:val="00804A96"/>
    <w:rsid w:val="00804DD6"/>
    <w:rsid w:val="00804E9F"/>
    <w:rsid w:val="00805251"/>
    <w:rsid w:val="00805809"/>
    <w:rsid w:val="00805B97"/>
    <w:rsid w:val="00805E6A"/>
    <w:rsid w:val="008063CA"/>
    <w:rsid w:val="00806732"/>
    <w:rsid w:val="00806A76"/>
    <w:rsid w:val="00806A98"/>
    <w:rsid w:val="00806D99"/>
    <w:rsid w:val="00806EAF"/>
    <w:rsid w:val="00807985"/>
    <w:rsid w:val="00810632"/>
    <w:rsid w:val="0081081A"/>
    <w:rsid w:val="00810CCF"/>
    <w:rsid w:val="008114D4"/>
    <w:rsid w:val="00811607"/>
    <w:rsid w:val="00811812"/>
    <w:rsid w:val="00811862"/>
    <w:rsid w:val="00811DA9"/>
    <w:rsid w:val="00811EA7"/>
    <w:rsid w:val="008120F7"/>
    <w:rsid w:val="008120F9"/>
    <w:rsid w:val="0081266F"/>
    <w:rsid w:val="00812AA5"/>
    <w:rsid w:val="00812F3B"/>
    <w:rsid w:val="0081301A"/>
    <w:rsid w:val="00813B2D"/>
    <w:rsid w:val="00813C1F"/>
    <w:rsid w:val="00813D18"/>
    <w:rsid w:val="00813FAB"/>
    <w:rsid w:val="008141B7"/>
    <w:rsid w:val="008149CF"/>
    <w:rsid w:val="00814DB5"/>
    <w:rsid w:val="00814DBA"/>
    <w:rsid w:val="0081524F"/>
    <w:rsid w:val="008152CA"/>
    <w:rsid w:val="00815382"/>
    <w:rsid w:val="0081587F"/>
    <w:rsid w:val="008158DE"/>
    <w:rsid w:val="0081595C"/>
    <w:rsid w:val="0081617C"/>
    <w:rsid w:val="00816504"/>
    <w:rsid w:val="0081656E"/>
    <w:rsid w:val="00816AFE"/>
    <w:rsid w:val="00816EAF"/>
    <w:rsid w:val="00816FF2"/>
    <w:rsid w:val="008173BC"/>
    <w:rsid w:val="00817515"/>
    <w:rsid w:val="0081762D"/>
    <w:rsid w:val="008178E3"/>
    <w:rsid w:val="00817B8B"/>
    <w:rsid w:val="00817DEE"/>
    <w:rsid w:val="00817E04"/>
    <w:rsid w:val="008205D6"/>
    <w:rsid w:val="008206C9"/>
    <w:rsid w:val="00820EE1"/>
    <w:rsid w:val="0082106D"/>
    <w:rsid w:val="008211AE"/>
    <w:rsid w:val="008215AE"/>
    <w:rsid w:val="00822B58"/>
    <w:rsid w:val="008230E3"/>
    <w:rsid w:val="00823116"/>
    <w:rsid w:val="008231BC"/>
    <w:rsid w:val="008233CF"/>
    <w:rsid w:val="00823411"/>
    <w:rsid w:val="0082357D"/>
    <w:rsid w:val="008235EF"/>
    <w:rsid w:val="0082394D"/>
    <w:rsid w:val="00823A85"/>
    <w:rsid w:val="00823AEA"/>
    <w:rsid w:val="00823D14"/>
    <w:rsid w:val="00823DF5"/>
    <w:rsid w:val="0082452E"/>
    <w:rsid w:val="00824D2B"/>
    <w:rsid w:val="00824E66"/>
    <w:rsid w:val="00824F21"/>
    <w:rsid w:val="008251B7"/>
    <w:rsid w:val="00825364"/>
    <w:rsid w:val="008253F4"/>
    <w:rsid w:val="00825AD3"/>
    <w:rsid w:val="00826083"/>
    <w:rsid w:val="00826346"/>
    <w:rsid w:val="00826C3D"/>
    <w:rsid w:val="00826F68"/>
    <w:rsid w:val="00827752"/>
    <w:rsid w:val="00827877"/>
    <w:rsid w:val="00827F90"/>
    <w:rsid w:val="00830941"/>
    <w:rsid w:val="008309B1"/>
    <w:rsid w:val="00830C66"/>
    <w:rsid w:val="00830DAB"/>
    <w:rsid w:val="00831C7E"/>
    <w:rsid w:val="00831CC7"/>
    <w:rsid w:val="00831E5E"/>
    <w:rsid w:val="0083204C"/>
    <w:rsid w:val="008325D1"/>
    <w:rsid w:val="00832C23"/>
    <w:rsid w:val="008336DF"/>
    <w:rsid w:val="00833A09"/>
    <w:rsid w:val="00833A57"/>
    <w:rsid w:val="00833EE2"/>
    <w:rsid w:val="008342A0"/>
    <w:rsid w:val="00834489"/>
    <w:rsid w:val="00834597"/>
    <w:rsid w:val="008347E3"/>
    <w:rsid w:val="00834CC1"/>
    <w:rsid w:val="008354C2"/>
    <w:rsid w:val="0083582C"/>
    <w:rsid w:val="00835938"/>
    <w:rsid w:val="00835F73"/>
    <w:rsid w:val="0083611C"/>
    <w:rsid w:val="0083614E"/>
    <w:rsid w:val="0083701F"/>
    <w:rsid w:val="008370C0"/>
    <w:rsid w:val="008377AB"/>
    <w:rsid w:val="00837BCD"/>
    <w:rsid w:val="00837D3A"/>
    <w:rsid w:val="0084044E"/>
    <w:rsid w:val="008409AE"/>
    <w:rsid w:val="00840D38"/>
    <w:rsid w:val="0084160C"/>
    <w:rsid w:val="00841782"/>
    <w:rsid w:val="00841BB2"/>
    <w:rsid w:val="00841C60"/>
    <w:rsid w:val="00841E0C"/>
    <w:rsid w:val="00842975"/>
    <w:rsid w:val="00842FD1"/>
    <w:rsid w:val="0084368D"/>
    <w:rsid w:val="0084388A"/>
    <w:rsid w:val="00843939"/>
    <w:rsid w:val="00843FCF"/>
    <w:rsid w:val="00844A51"/>
    <w:rsid w:val="00844E75"/>
    <w:rsid w:val="0084562D"/>
    <w:rsid w:val="00845871"/>
    <w:rsid w:val="00846154"/>
    <w:rsid w:val="00846665"/>
    <w:rsid w:val="008468D4"/>
    <w:rsid w:val="00846CD9"/>
    <w:rsid w:val="008475B0"/>
    <w:rsid w:val="00847968"/>
    <w:rsid w:val="00850313"/>
    <w:rsid w:val="00850566"/>
    <w:rsid w:val="008506E6"/>
    <w:rsid w:val="008509E4"/>
    <w:rsid w:val="00850A28"/>
    <w:rsid w:val="00850D50"/>
    <w:rsid w:val="00850E5E"/>
    <w:rsid w:val="00851272"/>
    <w:rsid w:val="008515C0"/>
    <w:rsid w:val="00851A89"/>
    <w:rsid w:val="00852402"/>
    <w:rsid w:val="00852B7C"/>
    <w:rsid w:val="00852D66"/>
    <w:rsid w:val="0085334B"/>
    <w:rsid w:val="00854192"/>
    <w:rsid w:val="00854223"/>
    <w:rsid w:val="008546DE"/>
    <w:rsid w:val="00854B83"/>
    <w:rsid w:val="008555C1"/>
    <w:rsid w:val="008556A6"/>
    <w:rsid w:val="008557DA"/>
    <w:rsid w:val="00855C07"/>
    <w:rsid w:val="00855D1D"/>
    <w:rsid w:val="00855E32"/>
    <w:rsid w:val="00855F5C"/>
    <w:rsid w:val="008564D4"/>
    <w:rsid w:val="00856A87"/>
    <w:rsid w:val="008571CB"/>
    <w:rsid w:val="0085737D"/>
    <w:rsid w:val="008578C3"/>
    <w:rsid w:val="00857CA2"/>
    <w:rsid w:val="00857CE1"/>
    <w:rsid w:val="008601C0"/>
    <w:rsid w:val="008601FC"/>
    <w:rsid w:val="0086094B"/>
    <w:rsid w:val="00860EE0"/>
    <w:rsid w:val="00860F67"/>
    <w:rsid w:val="0086116C"/>
    <w:rsid w:val="008617D6"/>
    <w:rsid w:val="00861D1F"/>
    <w:rsid w:val="008624D6"/>
    <w:rsid w:val="008627BE"/>
    <w:rsid w:val="00862898"/>
    <w:rsid w:val="00862B1C"/>
    <w:rsid w:val="00863194"/>
    <w:rsid w:val="008635F3"/>
    <w:rsid w:val="0086386E"/>
    <w:rsid w:val="008643B4"/>
    <w:rsid w:val="0086461D"/>
    <w:rsid w:val="00864875"/>
    <w:rsid w:val="00864AFC"/>
    <w:rsid w:val="00864D04"/>
    <w:rsid w:val="00865221"/>
    <w:rsid w:val="00865248"/>
    <w:rsid w:val="008653CA"/>
    <w:rsid w:val="008656B9"/>
    <w:rsid w:val="00865AF4"/>
    <w:rsid w:val="00865CB3"/>
    <w:rsid w:val="00865E8E"/>
    <w:rsid w:val="00866165"/>
    <w:rsid w:val="008662F8"/>
    <w:rsid w:val="008663DA"/>
    <w:rsid w:val="00866423"/>
    <w:rsid w:val="00866499"/>
    <w:rsid w:val="00866757"/>
    <w:rsid w:val="00866CCD"/>
    <w:rsid w:val="00866F5A"/>
    <w:rsid w:val="00866F82"/>
    <w:rsid w:val="008671BE"/>
    <w:rsid w:val="00867606"/>
    <w:rsid w:val="0086764B"/>
    <w:rsid w:val="00867660"/>
    <w:rsid w:val="00867A44"/>
    <w:rsid w:val="00867F25"/>
    <w:rsid w:val="0087014D"/>
    <w:rsid w:val="0087074B"/>
    <w:rsid w:val="008710D8"/>
    <w:rsid w:val="0087118B"/>
    <w:rsid w:val="008716B6"/>
    <w:rsid w:val="0087238E"/>
    <w:rsid w:val="00872D4C"/>
    <w:rsid w:val="0087325A"/>
    <w:rsid w:val="00873818"/>
    <w:rsid w:val="008738A1"/>
    <w:rsid w:val="00873AF9"/>
    <w:rsid w:val="00873E75"/>
    <w:rsid w:val="008747E4"/>
    <w:rsid w:val="00874938"/>
    <w:rsid w:val="00874FD7"/>
    <w:rsid w:val="00875252"/>
    <w:rsid w:val="008754D9"/>
    <w:rsid w:val="00875595"/>
    <w:rsid w:val="0087574D"/>
    <w:rsid w:val="00875BAB"/>
    <w:rsid w:val="00875BDB"/>
    <w:rsid w:val="0087636E"/>
    <w:rsid w:val="008765A5"/>
    <w:rsid w:val="00876886"/>
    <w:rsid w:val="00876D92"/>
    <w:rsid w:val="008770E9"/>
    <w:rsid w:val="0087760E"/>
    <w:rsid w:val="00877A06"/>
    <w:rsid w:val="00877B77"/>
    <w:rsid w:val="00880114"/>
    <w:rsid w:val="00880473"/>
    <w:rsid w:val="008806EE"/>
    <w:rsid w:val="00880723"/>
    <w:rsid w:val="00880D1F"/>
    <w:rsid w:val="008818CC"/>
    <w:rsid w:val="00881C4D"/>
    <w:rsid w:val="00882446"/>
    <w:rsid w:val="00882B3E"/>
    <w:rsid w:val="00883AAA"/>
    <w:rsid w:val="00884284"/>
    <w:rsid w:val="00884CC8"/>
    <w:rsid w:val="00884EC5"/>
    <w:rsid w:val="0088596D"/>
    <w:rsid w:val="00885E9A"/>
    <w:rsid w:val="00885EDA"/>
    <w:rsid w:val="00885F23"/>
    <w:rsid w:val="008862B9"/>
    <w:rsid w:val="0088660C"/>
    <w:rsid w:val="00886BE8"/>
    <w:rsid w:val="00886CCC"/>
    <w:rsid w:val="00887236"/>
    <w:rsid w:val="0088778D"/>
    <w:rsid w:val="00887852"/>
    <w:rsid w:val="008879A4"/>
    <w:rsid w:val="00887C73"/>
    <w:rsid w:val="00887EF0"/>
    <w:rsid w:val="00890060"/>
    <w:rsid w:val="008901A3"/>
    <w:rsid w:val="00890619"/>
    <w:rsid w:val="00890C03"/>
    <w:rsid w:val="00891177"/>
    <w:rsid w:val="00891215"/>
    <w:rsid w:val="008914B4"/>
    <w:rsid w:val="008917A8"/>
    <w:rsid w:val="00891A28"/>
    <w:rsid w:val="00891A82"/>
    <w:rsid w:val="00892186"/>
    <w:rsid w:val="00892797"/>
    <w:rsid w:val="00892865"/>
    <w:rsid w:val="008929E1"/>
    <w:rsid w:val="00892EF0"/>
    <w:rsid w:val="008930BD"/>
    <w:rsid w:val="0089343D"/>
    <w:rsid w:val="008938AF"/>
    <w:rsid w:val="00893DB9"/>
    <w:rsid w:val="008944E4"/>
    <w:rsid w:val="00894579"/>
    <w:rsid w:val="00894580"/>
    <w:rsid w:val="0089461B"/>
    <w:rsid w:val="0089477E"/>
    <w:rsid w:val="00894B98"/>
    <w:rsid w:val="008952B8"/>
    <w:rsid w:val="00895530"/>
    <w:rsid w:val="00895650"/>
    <w:rsid w:val="00895A6F"/>
    <w:rsid w:val="00895DD1"/>
    <w:rsid w:val="00895DF1"/>
    <w:rsid w:val="00895F83"/>
    <w:rsid w:val="0089653C"/>
    <w:rsid w:val="00897060"/>
    <w:rsid w:val="008978AB"/>
    <w:rsid w:val="00897B64"/>
    <w:rsid w:val="00897C1D"/>
    <w:rsid w:val="00897C27"/>
    <w:rsid w:val="00897E51"/>
    <w:rsid w:val="008A0374"/>
    <w:rsid w:val="008A0980"/>
    <w:rsid w:val="008A0ACB"/>
    <w:rsid w:val="008A0DDD"/>
    <w:rsid w:val="008A15EC"/>
    <w:rsid w:val="008A1780"/>
    <w:rsid w:val="008A1CF2"/>
    <w:rsid w:val="008A1DF8"/>
    <w:rsid w:val="008A1FC7"/>
    <w:rsid w:val="008A2BA0"/>
    <w:rsid w:val="008A2E63"/>
    <w:rsid w:val="008A2EA2"/>
    <w:rsid w:val="008A30B0"/>
    <w:rsid w:val="008A43C7"/>
    <w:rsid w:val="008A45DD"/>
    <w:rsid w:val="008A46CD"/>
    <w:rsid w:val="008A46D3"/>
    <w:rsid w:val="008A494E"/>
    <w:rsid w:val="008A4AF1"/>
    <w:rsid w:val="008A4B75"/>
    <w:rsid w:val="008A4C5C"/>
    <w:rsid w:val="008A4DBE"/>
    <w:rsid w:val="008A4FAD"/>
    <w:rsid w:val="008A506A"/>
    <w:rsid w:val="008A50FD"/>
    <w:rsid w:val="008A5A5E"/>
    <w:rsid w:val="008A6046"/>
    <w:rsid w:val="008A6106"/>
    <w:rsid w:val="008A6627"/>
    <w:rsid w:val="008A6C7B"/>
    <w:rsid w:val="008A6CCE"/>
    <w:rsid w:val="008A6CD1"/>
    <w:rsid w:val="008A6E56"/>
    <w:rsid w:val="008A7000"/>
    <w:rsid w:val="008A71AE"/>
    <w:rsid w:val="008A78D5"/>
    <w:rsid w:val="008B08D3"/>
    <w:rsid w:val="008B0BD1"/>
    <w:rsid w:val="008B0C0E"/>
    <w:rsid w:val="008B17EE"/>
    <w:rsid w:val="008B1888"/>
    <w:rsid w:val="008B28EF"/>
    <w:rsid w:val="008B2D60"/>
    <w:rsid w:val="008B3031"/>
    <w:rsid w:val="008B33E5"/>
    <w:rsid w:val="008B3EFC"/>
    <w:rsid w:val="008B434D"/>
    <w:rsid w:val="008B4358"/>
    <w:rsid w:val="008B48BD"/>
    <w:rsid w:val="008B4A0D"/>
    <w:rsid w:val="008B54C6"/>
    <w:rsid w:val="008B6102"/>
    <w:rsid w:val="008B615E"/>
    <w:rsid w:val="008B61D7"/>
    <w:rsid w:val="008B62D5"/>
    <w:rsid w:val="008B62F8"/>
    <w:rsid w:val="008B63A2"/>
    <w:rsid w:val="008B6761"/>
    <w:rsid w:val="008B67A3"/>
    <w:rsid w:val="008B6C07"/>
    <w:rsid w:val="008B7455"/>
    <w:rsid w:val="008B7565"/>
    <w:rsid w:val="008B7AD3"/>
    <w:rsid w:val="008B7B9C"/>
    <w:rsid w:val="008B7F85"/>
    <w:rsid w:val="008C0366"/>
    <w:rsid w:val="008C0871"/>
    <w:rsid w:val="008C0B1F"/>
    <w:rsid w:val="008C0CF9"/>
    <w:rsid w:val="008C0D9D"/>
    <w:rsid w:val="008C163B"/>
    <w:rsid w:val="008C1732"/>
    <w:rsid w:val="008C1A20"/>
    <w:rsid w:val="008C1BB9"/>
    <w:rsid w:val="008C1F6E"/>
    <w:rsid w:val="008C25CA"/>
    <w:rsid w:val="008C2BFB"/>
    <w:rsid w:val="008C2CAA"/>
    <w:rsid w:val="008C2D9F"/>
    <w:rsid w:val="008C2F33"/>
    <w:rsid w:val="008C32BF"/>
    <w:rsid w:val="008C3407"/>
    <w:rsid w:val="008C36A2"/>
    <w:rsid w:val="008C36D2"/>
    <w:rsid w:val="008C39CB"/>
    <w:rsid w:val="008C414C"/>
    <w:rsid w:val="008C4425"/>
    <w:rsid w:val="008C4799"/>
    <w:rsid w:val="008C4A3D"/>
    <w:rsid w:val="008C4EAB"/>
    <w:rsid w:val="008C58BD"/>
    <w:rsid w:val="008C5916"/>
    <w:rsid w:val="008C5DE6"/>
    <w:rsid w:val="008C64F3"/>
    <w:rsid w:val="008C65AE"/>
    <w:rsid w:val="008C6912"/>
    <w:rsid w:val="008C6ACA"/>
    <w:rsid w:val="008C6C11"/>
    <w:rsid w:val="008C6E38"/>
    <w:rsid w:val="008C7A14"/>
    <w:rsid w:val="008C7AF8"/>
    <w:rsid w:val="008D025F"/>
    <w:rsid w:val="008D04E9"/>
    <w:rsid w:val="008D08C9"/>
    <w:rsid w:val="008D1019"/>
    <w:rsid w:val="008D10E4"/>
    <w:rsid w:val="008D1125"/>
    <w:rsid w:val="008D16A3"/>
    <w:rsid w:val="008D1C9B"/>
    <w:rsid w:val="008D1CBC"/>
    <w:rsid w:val="008D1E7C"/>
    <w:rsid w:val="008D21F9"/>
    <w:rsid w:val="008D273E"/>
    <w:rsid w:val="008D2745"/>
    <w:rsid w:val="008D2B5D"/>
    <w:rsid w:val="008D2E4B"/>
    <w:rsid w:val="008D32C4"/>
    <w:rsid w:val="008D33ED"/>
    <w:rsid w:val="008D36FF"/>
    <w:rsid w:val="008D3710"/>
    <w:rsid w:val="008D3890"/>
    <w:rsid w:val="008D3A25"/>
    <w:rsid w:val="008D3C85"/>
    <w:rsid w:val="008D4312"/>
    <w:rsid w:val="008D4675"/>
    <w:rsid w:val="008D490D"/>
    <w:rsid w:val="008D49A6"/>
    <w:rsid w:val="008D4D9C"/>
    <w:rsid w:val="008D4DB5"/>
    <w:rsid w:val="008D4FF5"/>
    <w:rsid w:val="008D53B3"/>
    <w:rsid w:val="008D597E"/>
    <w:rsid w:val="008D59FE"/>
    <w:rsid w:val="008D60A6"/>
    <w:rsid w:val="008D60DE"/>
    <w:rsid w:val="008D6794"/>
    <w:rsid w:val="008D6F4E"/>
    <w:rsid w:val="008D7261"/>
    <w:rsid w:val="008D730C"/>
    <w:rsid w:val="008D78BB"/>
    <w:rsid w:val="008E0513"/>
    <w:rsid w:val="008E0DE1"/>
    <w:rsid w:val="008E149E"/>
    <w:rsid w:val="008E14A6"/>
    <w:rsid w:val="008E2455"/>
    <w:rsid w:val="008E2CB9"/>
    <w:rsid w:val="008E320E"/>
    <w:rsid w:val="008E3334"/>
    <w:rsid w:val="008E34B8"/>
    <w:rsid w:val="008E389C"/>
    <w:rsid w:val="008E38D2"/>
    <w:rsid w:val="008E41FF"/>
    <w:rsid w:val="008E544A"/>
    <w:rsid w:val="008E5D26"/>
    <w:rsid w:val="008E5DBE"/>
    <w:rsid w:val="008E602D"/>
    <w:rsid w:val="008E60DE"/>
    <w:rsid w:val="008E6BA1"/>
    <w:rsid w:val="008E70B4"/>
    <w:rsid w:val="008E739F"/>
    <w:rsid w:val="008F00F9"/>
    <w:rsid w:val="008F016F"/>
    <w:rsid w:val="008F069C"/>
    <w:rsid w:val="008F0EB4"/>
    <w:rsid w:val="008F101D"/>
    <w:rsid w:val="008F11AA"/>
    <w:rsid w:val="008F13B6"/>
    <w:rsid w:val="008F13CC"/>
    <w:rsid w:val="008F14B2"/>
    <w:rsid w:val="008F1ACD"/>
    <w:rsid w:val="008F1B02"/>
    <w:rsid w:val="008F1D1A"/>
    <w:rsid w:val="008F1D58"/>
    <w:rsid w:val="008F1E42"/>
    <w:rsid w:val="008F1F15"/>
    <w:rsid w:val="008F2001"/>
    <w:rsid w:val="008F2422"/>
    <w:rsid w:val="008F2468"/>
    <w:rsid w:val="008F2C44"/>
    <w:rsid w:val="008F3006"/>
    <w:rsid w:val="008F33A2"/>
    <w:rsid w:val="008F33A5"/>
    <w:rsid w:val="008F35E3"/>
    <w:rsid w:val="008F3AB2"/>
    <w:rsid w:val="008F3AC4"/>
    <w:rsid w:val="008F3C1A"/>
    <w:rsid w:val="008F4236"/>
    <w:rsid w:val="008F4508"/>
    <w:rsid w:val="008F4589"/>
    <w:rsid w:val="008F4765"/>
    <w:rsid w:val="008F4997"/>
    <w:rsid w:val="008F51A5"/>
    <w:rsid w:val="008F546A"/>
    <w:rsid w:val="008F5BD9"/>
    <w:rsid w:val="008F5F5D"/>
    <w:rsid w:val="008F6080"/>
    <w:rsid w:val="008F66C8"/>
    <w:rsid w:val="008F6D1C"/>
    <w:rsid w:val="008F6F2D"/>
    <w:rsid w:val="008F71E2"/>
    <w:rsid w:val="008F720D"/>
    <w:rsid w:val="008F752C"/>
    <w:rsid w:val="008F78CE"/>
    <w:rsid w:val="008F7D58"/>
    <w:rsid w:val="0090002B"/>
    <w:rsid w:val="0090003D"/>
    <w:rsid w:val="0090007F"/>
    <w:rsid w:val="009011E6"/>
    <w:rsid w:val="009016BE"/>
    <w:rsid w:val="00901B3D"/>
    <w:rsid w:val="00901BF3"/>
    <w:rsid w:val="00901E66"/>
    <w:rsid w:val="00902453"/>
    <w:rsid w:val="009024F8"/>
    <w:rsid w:val="00902633"/>
    <w:rsid w:val="009034DA"/>
    <w:rsid w:val="00904014"/>
    <w:rsid w:val="00904D76"/>
    <w:rsid w:val="0090508A"/>
    <w:rsid w:val="00905735"/>
    <w:rsid w:val="00905DCD"/>
    <w:rsid w:val="00905E42"/>
    <w:rsid w:val="00906263"/>
    <w:rsid w:val="00906B53"/>
    <w:rsid w:val="00906E2E"/>
    <w:rsid w:val="00906E75"/>
    <w:rsid w:val="00907B62"/>
    <w:rsid w:val="00907EE9"/>
    <w:rsid w:val="00910377"/>
    <w:rsid w:val="00910F90"/>
    <w:rsid w:val="009124F0"/>
    <w:rsid w:val="009125F0"/>
    <w:rsid w:val="00912B46"/>
    <w:rsid w:val="00912C2B"/>
    <w:rsid w:val="00913021"/>
    <w:rsid w:val="009135BF"/>
    <w:rsid w:val="0091387F"/>
    <w:rsid w:val="00913940"/>
    <w:rsid w:val="00913988"/>
    <w:rsid w:val="00913B42"/>
    <w:rsid w:val="00913D1F"/>
    <w:rsid w:val="00914B9D"/>
    <w:rsid w:val="00914BB0"/>
    <w:rsid w:val="00914BB6"/>
    <w:rsid w:val="00914C68"/>
    <w:rsid w:val="00914E43"/>
    <w:rsid w:val="00915337"/>
    <w:rsid w:val="00915340"/>
    <w:rsid w:val="00915498"/>
    <w:rsid w:val="00915ABA"/>
    <w:rsid w:val="00915E55"/>
    <w:rsid w:val="00916304"/>
    <w:rsid w:val="00916343"/>
    <w:rsid w:val="00917638"/>
    <w:rsid w:val="009178F3"/>
    <w:rsid w:val="00917A0D"/>
    <w:rsid w:val="00917DA1"/>
    <w:rsid w:val="0092006D"/>
    <w:rsid w:val="00920267"/>
    <w:rsid w:val="0092169E"/>
    <w:rsid w:val="00921B32"/>
    <w:rsid w:val="0092271A"/>
    <w:rsid w:val="009227A0"/>
    <w:rsid w:val="009229F1"/>
    <w:rsid w:val="00923933"/>
    <w:rsid w:val="00923ACB"/>
    <w:rsid w:val="00923F13"/>
    <w:rsid w:val="009243EF"/>
    <w:rsid w:val="00924E66"/>
    <w:rsid w:val="0092517B"/>
    <w:rsid w:val="009251DE"/>
    <w:rsid w:val="0092576B"/>
    <w:rsid w:val="00925883"/>
    <w:rsid w:val="009258CE"/>
    <w:rsid w:val="009264B2"/>
    <w:rsid w:val="009264EA"/>
    <w:rsid w:val="00926532"/>
    <w:rsid w:val="00926A30"/>
    <w:rsid w:val="00927452"/>
    <w:rsid w:val="00927469"/>
    <w:rsid w:val="00927657"/>
    <w:rsid w:val="009277D3"/>
    <w:rsid w:val="00927B15"/>
    <w:rsid w:val="00927EEF"/>
    <w:rsid w:val="00930108"/>
    <w:rsid w:val="009303B5"/>
    <w:rsid w:val="00930821"/>
    <w:rsid w:val="0093085E"/>
    <w:rsid w:val="00930A39"/>
    <w:rsid w:val="009313C4"/>
    <w:rsid w:val="009313DE"/>
    <w:rsid w:val="0093180F"/>
    <w:rsid w:val="00932031"/>
    <w:rsid w:val="00932155"/>
    <w:rsid w:val="009322ED"/>
    <w:rsid w:val="00933135"/>
    <w:rsid w:val="00933456"/>
    <w:rsid w:val="00933A71"/>
    <w:rsid w:val="00933FFB"/>
    <w:rsid w:val="009348FF"/>
    <w:rsid w:val="00934CE8"/>
    <w:rsid w:val="00934F9F"/>
    <w:rsid w:val="00935982"/>
    <w:rsid w:val="00935BBB"/>
    <w:rsid w:val="00935CB5"/>
    <w:rsid w:val="00935D45"/>
    <w:rsid w:val="00935D4B"/>
    <w:rsid w:val="009363F8"/>
    <w:rsid w:val="00936896"/>
    <w:rsid w:val="00936A73"/>
    <w:rsid w:val="00936DC3"/>
    <w:rsid w:val="00937006"/>
    <w:rsid w:val="00937033"/>
    <w:rsid w:val="00937050"/>
    <w:rsid w:val="009371BB"/>
    <w:rsid w:val="0093754E"/>
    <w:rsid w:val="00937B53"/>
    <w:rsid w:val="00940220"/>
    <w:rsid w:val="00940258"/>
    <w:rsid w:val="00940649"/>
    <w:rsid w:val="0094064C"/>
    <w:rsid w:val="00940ACC"/>
    <w:rsid w:val="0094104D"/>
    <w:rsid w:val="00941628"/>
    <w:rsid w:val="00941832"/>
    <w:rsid w:val="00942230"/>
    <w:rsid w:val="00942319"/>
    <w:rsid w:val="00942371"/>
    <w:rsid w:val="0094245D"/>
    <w:rsid w:val="00942647"/>
    <w:rsid w:val="00942819"/>
    <w:rsid w:val="009429ED"/>
    <w:rsid w:val="00942BCA"/>
    <w:rsid w:val="00942C11"/>
    <w:rsid w:val="0094330A"/>
    <w:rsid w:val="0094344A"/>
    <w:rsid w:val="0094363E"/>
    <w:rsid w:val="009439A5"/>
    <w:rsid w:val="00943DD7"/>
    <w:rsid w:val="00943EA0"/>
    <w:rsid w:val="00944346"/>
    <w:rsid w:val="009449BF"/>
    <w:rsid w:val="00944FEE"/>
    <w:rsid w:val="00945381"/>
    <w:rsid w:val="00945D38"/>
    <w:rsid w:val="00945DCA"/>
    <w:rsid w:val="00946381"/>
    <w:rsid w:val="00946403"/>
    <w:rsid w:val="0094650E"/>
    <w:rsid w:val="00946E35"/>
    <w:rsid w:val="009478C2"/>
    <w:rsid w:val="0095037A"/>
    <w:rsid w:val="00950B19"/>
    <w:rsid w:val="00950E7C"/>
    <w:rsid w:val="00951217"/>
    <w:rsid w:val="009513E2"/>
    <w:rsid w:val="009517E2"/>
    <w:rsid w:val="0095189E"/>
    <w:rsid w:val="00951E81"/>
    <w:rsid w:val="0095284C"/>
    <w:rsid w:val="009529D9"/>
    <w:rsid w:val="00952B09"/>
    <w:rsid w:val="00952E1A"/>
    <w:rsid w:val="00952F03"/>
    <w:rsid w:val="0095334E"/>
    <w:rsid w:val="009533AB"/>
    <w:rsid w:val="0095399F"/>
    <w:rsid w:val="00953B88"/>
    <w:rsid w:val="00953F74"/>
    <w:rsid w:val="00954172"/>
    <w:rsid w:val="00954575"/>
    <w:rsid w:val="0095474C"/>
    <w:rsid w:val="00955F31"/>
    <w:rsid w:val="0095719E"/>
    <w:rsid w:val="009576BF"/>
    <w:rsid w:val="00957A25"/>
    <w:rsid w:val="009608AB"/>
    <w:rsid w:val="00961404"/>
    <w:rsid w:val="009614DE"/>
    <w:rsid w:val="009615DC"/>
    <w:rsid w:val="00961E18"/>
    <w:rsid w:val="00962196"/>
    <w:rsid w:val="00962992"/>
    <w:rsid w:val="00962F38"/>
    <w:rsid w:val="009631C5"/>
    <w:rsid w:val="00963301"/>
    <w:rsid w:val="00963AFA"/>
    <w:rsid w:val="00963C28"/>
    <w:rsid w:val="00964435"/>
    <w:rsid w:val="009647BF"/>
    <w:rsid w:val="00964CD8"/>
    <w:rsid w:val="00966470"/>
    <w:rsid w:val="009673FD"/>
    <w:rsid w:val="00967935"/>
    <w:rsid w:val="00967A54"/>
    <w:rsid w:val="00967C86"/>
    <w:rsid w:val="0097037E"/>
    <w:rsid w:val="00970A8A"/>
    <w:rsid w:val="009712C6"/>
    <w:rsid w:val="0097145C"/>
    <w:rsid w:val="009718CD"/>
    <w:rsid w:val="009718F8"/>
    <w:rsid w:val="00971AB2"/>
    <w:rsid w:val="00972109"/>
    <w:rsid w:val="0097240B"/>
    <w:rsid w:val="00972650"/>
    <w:rsid w:val="00972E04"/>
    <w:rsid w:val="00972E0A"/>
    <w:rsid w:val="00973265"/>
    <w:rsid w:val="009733B6"/>
    <w:rsid w:val="00973536"/>
    <w:rsid w:val="00973675"/>
    <w:rsid w:val="009736C2"/>
    <w:rsid w:val="00974C5C"/>
    <w:rsid w:val="00974F96"/>
    <w:rsid w:val="00975093"/>
    <w:rsid w:val="009756FA"/>
    <w:rsid w:val="00975884"/>
    <w:rsid w:val="009758CB"/>
    <w:rsid w:val="00975932"/>
    <w:rsid w:val="009759B1"/>
    <w:rsid w:val="00975E73"/>
    <w:rsid w:val="00976305"/>
    <w:rsid w:val="009763D0"/>
    <w:rsid w:val="0097712A"/>
    <w:rsid w:val="00977329"/>
    <w:rsid w:val="009775EC"/>
    <w:rsid w:val="00977EB7"/>
    <w:rsid w:val="00981442"/>
    <w:rsid w:val="00982B55"/>
    <w:rsid w:val="00983B08"/>
    <w:rsid w:val="00983C58"/>
    <w:rsid w:val="00983D57"/>
    <w:rsid w:val="00984417"/>
    <w:rsid w:val="00984966"/>
    <w:rsid w:val="009849B4"/>
    <w:rsid w:val="00984ED4"/>
    <w:rsid w:val="00984F63"/>
    <w:rsid w:val="00984F6F"/>
    <w:rsid w:val="00985512"/>
    <w:rsid w:val="0098553A"/>
    <w:rsid w:val="0098559C"/>
    <w:rsid w:val="009857DA"/>
    <w:rsid w:val="0098599F"/>
    <w:rsid w:val="00985E77"/>
    <w:rsid w:val="00985FBF"/>
    <w:rsid w:val="009866CB"/>
    <w:rsid w:val="009869FF"/>
    <w:rsid w:val="00986AE7"/>
    <w:rsid w:val="00986D4F"/>
    <w:rsid w:val="0098733A"/>
    <w:rsid w:val="0098766F"/>
    <w:rsid w:val="00987C43"/>
    <w:rsid w:val="00987FB1"/>
    <w:rsid w:val="009904FA"/>
    <w:rsid w:val="00990656"/>
    <w:rsid w:val="009906DF"/>
    <w:rsid w:val="00990C37"/>
    <w:rsid w:val="00990CE1"/>
    <w:rsid w:val="0099144C"/>
    <w:rsid w:val="00991B50"/>
    <w:rsid w:val="00992178"/>
    <w:rsid w:val="009922F1"/>
    <w:rsid w:val="0099268A"/>
    <w:rsid w:val="00992781"/>
    <w:rsid w:val="009929EC"/>
    <w:rsid w:val="00992EC8"/>
    <w:rsid w:val="009933BC"/>
    <w:rsid w:val="0099341C"/>
    <w:rsid w:val="009935D8"/>
    <w:rsid w:val="00993A7F"/>
    <w:rsid w:val="0099412B"/>
    <w:rsid w:val="00994645"/>
    <w:rsid w:val="00994F8E"/>
    <w:rsid w:val="0099546C"/>
    <w:rsid w:val="009956B3"/>
    <w:rsid w:val="00995E68"/>
    <w:rsid w:val="009960E6"/>
    <w:rsid w:val="009965AF"/>
    <w:rsid w:val="009967B1"/>
    <w:rsid w:val="00996940"/>
    <w:rsid w:val="00996D83"/>
    <w:rsid w:val="009974D5"/>
    <w:rsid w:val="009976F7"/>
    <w:rsid w:val="009978B8"/>
    <w:rsid w:val="00997980"/>
    <w:rsid w:val="00997B42"/>
    <w:rsid w:val="00997BCF"/>
    <w:rsid w:val="00997C58"/>
    <w:rsid w:val="009A0360"/>
    <w:rsid w:val="009A0400"/>
    <w:rsid w:val="009A068C"/>
    <w:rsid w:val="009A106E"/>
    <w:rsid w:val="009A138C"/>
    <w:rsid w:val="009A139F"/>
    <w:rsid w:val="009A14E8"/>
    <w:rsid w:val="009A15B0"/>
    <w:rsid w:val="009A1622"/>
    <w:rsid w:val="009A242C"/>
    <w:rsid w:val="009A2A7D"/>
    <w:rsid w:val="009A2D30"/>
    <w:rsid w:val="009A2DF3"/>
    <w:rsid w:val="009A30D6"/>
    <w:rsid w:val="009A314E"/>
    <w:rsid w:val="009A3402"/>
    <w:rsid w:val="009A3A5E"/>
    <w:rsid w:val="009A4117"/>
    <w:rsid w:val="009A426D"/>
    <w:rsid w:val="009A4416"/>
    <w:rsid w:val="009A4590"/>
    <w:rsid w:val="009A4AB7"/>
    <w:rsid w:val="009A4ABC"/>
    <w:rsid w:val="009A4CDD"/>
    <w:rsid w:val="009A59A5"/>
    <w:rsid w:val="009A5BDC"/>
    <w:rsid w:val="009A5EA0"/>
    <w:rsid w:val="009A61C6"/>
    <w:rsid w:val="009A64B8"/>
    <w:rsid w:val="009A654E"/>
    <w:rsid w:val="009A669D"/>
    <w:rsid w:val="009A6756"/>
    <w:rsid w:val="009A6D4F"/>
    <w:rsid w:val="009A7276"/>
    <w:rsid w:val="009A7E09"/>
    <w:rsid w:val="009B0213"/>
    <w:rsid w:val="009B051D"/>
    <w:rsid w:val="009B065C"/>
    <w:rsid w:val="009B0D31"/>
    <w:rsid w:val="009B0D9D"/>
    <w:rsid w:val="009B1581"/>
    <w:rsid w:val="009B15CA"/>
    <w:rsid w:val="009B16F5"/>
    <w:rsid w:val="009B1A62"/>
    <w:rsid w:val="009B20F3"/>
    <w:rsid w:val="009B279F"/>
    <w:rsid w:val="009B3130"/>
    <w:rsid w:val="009B34D3"/>
    <w:rsid w:val="009B39C8"/>
    <w:rsid w:val="009B3A67"/>
    <w:rsid w:val="009B42A8"/>
    <w:rsid w:val="009B444D"/>
    <w:rsid w:val="009B4A88"/>
    <w:rsid w:val="009B4CFD"/>
    <w:rsid w:val="009B4D0E"/>
    <w:rsid w:val="009B4D5A"/>
    <w:rsid w:val="009B4E33"/>
    <w:rsid w:val="009B4FFF"/>
    <w:rsid w:val="009B51EB"/>
    <w:rsid w:val="009B58DD"/>
    <w:rsid w:val="009B666B"/>
    <w:rsid w:val="009B6A1B"/>
    <w:rsid w:val="009B74CC"/>
    <w:rsid w:val="009B7540"/>
    <w:rsid w:val="009B765C"/>
    <w:rsid w:val="009B7717"/>
    <w:rsid w:val="009B7C6A"/>
    <w:rsid w:val="009C0A9E"/>
    <w:rsid w:val="009C0D83"/>
    <w:rsid w:val="009C0E92"/>
    <w:rsid w:val="009C0F3E"/>
    <w:rsid w:val="009C1054"/>
    <w:rsid w:val="009C15F7"/>
    <w:rsid w:val="009C2301"/>
    <w:rsid w:val="009C2653"/>
    <w:rsid w:val="009C3074"/>
    <w:rsid w:val="009C3619"/>
    <w:rsid w:val="009C4708"/>
    <w:rsid w:val="009C4D04"/>
    <w:rsid w:val="009C5D4A"/>
    <w:rsid w:val="009C6106"/>
    <w:rsid w:val="009C6227"/>
    <w:rsid w:val="009C675E"/>
    <w:rsid w:val="009C6A9D"/>
    <w:rsid w:val="009C6C47"/>
    <w:rsid w:val="009C7284"/>
    <w:rsid w:val="009C750B"/>
    <w:rsid w:val="009C7F88"/>
    <w:rsid w:val="009D00AC"/>
    <w:rsid w:val="009D0180"/>
    <w:rsid w:val="009D08D0"/>
    <w:rsid w:val="009D0913"/>
    <w:rsid w:val="009D0E35"/>
    <w:rsid w:val="009D0EDA"/>
    <w:rsid w:val="009D1426"/>
    <w:rsid w:val="009D18E3"/>
    <w:rsid w:val="009D20FD"/>
    <w:rsid w:val="009D2131"/>
    <w:rsid w:val="009D23A2"/>
    <w:rsid w:val="009D26B6"/>
    <w:rsid w:val="009D2FF9"/>
    <w:rsid w:val="009D334D"/>
    <w:rsid w:val="009D3617"/>
    <w:rsid w:val="009D371D"/>
    <w:rsid w:val="009D3747"/>
    <w:rsid w:val="009D3AE7"/>
    <w:rsid w:val="009D3B91"/>
    <w:rsid w:val="009D3BB4"/>
    <w:rsid w:val="009D3DF9"/>
    <w:rsid w:val="009D443C"/>
    <w:rsid w:val="009D4445"/>
    <w:rsid w:val="009D4B19"/>
    <w:rsid w:val="009D5211"/>
    <w:rsid w:val="009D5A46"/>
    <w:rsid w:val="009D61C1"/>
    <w:rsid w:val="009D61E0"/>
    <w:rsid w:val="009D6272"/>
    <w:rsid w:val="009D6741"/>
    <w:rsid w:val="009D6883"/>
    <w:rsid w:val="009D6F6B"/>
    <w:rsid w:val="009D71DA"/>
    <w:rsid w:val="009D7333"/>
    <w:rsid w:val="009D7843"/>
    <w:rsid w:val="009D7B80"/>
    <w:rsid w:val="009D7E9A"/>
    <w:rsid w:val="009E01BC"/>
    <w:rsid w:val="009E0F3F"/>
    <w:rsid w:val="009E0FDB"/>
    <w:rsid w:val="009E10CF"/>
    <w:rsid w:val="009E13CD"/>
    <w:rsid w:val="009E146F"/>
    <w:rsid w:val="009E14EF"/>
    <w:rsid w:val="009E1608"/>
    <w:rsid w:val="009E19B6"/>
    <w:rsid w:val="009E21F2"/>
    <w:rsid w:val="009E2941"/>
    <w:rsid w:val="009E2DA8"/>
    <w:rsid w:val="009E2F9C"/>
    <w:rsid w:val="009E341C"/>
    <w:rsid w:val="009E3A3B"/>
    <w:rsid w:val="009E3E94"/>
    <w:rsid w:val="009E4A9F"/>
    <w:rsid w:val="009E4DF8"/>
    <w:rsid w:val="009E55F9"/>
    <w:rsid w:val="009E5661"/>
    <w:rsid w:val="009E5D06"/>
    <w:rsid w:val="009E629D"/>
    <w:rsid w:val="009E647C"/>
    <w:rsid w:val="009E651B"/>
    <w:rsid w:val="009E65E7"/>
    <w:rsid w:val="009E6F25"/>
    <w:rsid w:val="009E6FB2"/>
    <w:rsid w:val="009E74CB"/>
    <w:rsid w:val="009E7A52"/>
    <w:rsid w:val="009E7C1E"/>
    <w:rsid w:val="009F0468"/>
    <w:rsid w:val="009F0525"/>
    <w:rsid w:val="009F064D"/>
    <w:rsid w:val="009F0AC9"/>
    <w:rsid w:val="009F0B60"/>
    <w:rsid w:val="009F0F3D"/>
    <w:rsid w:val="009F1742"/>
    <w:rsid w:val="009F1978"/>
    <w:rsid w:val="009F1FA7"/>
    <w:rsid w:val="009F20D1"/>
    <w:rsid w:val="009F2208"/>
    <w:rsid w:val="009F22AB"/>
    <w:rsid w:val="009F2422"/>
    <w:rsid w:val="009F2485"/>
    <w:rsid w:val="009F258E"/>
    <w:rsid w:val="009F2666"/>
    <w:rsid w:val="009F2A59"/>
    <w:rsid w:val="009F2B6E"/>
    <w:rsid w:val="009F2D52"/>
    <w:rsid w:val="009F2FC6"/>
    <w:rsid w:val="009F3D71"/>
    <w:rsid w:val="009F3DF1"/>
    <w:rsid w:val="009F3F45"/>
    <w:rsid w:val="009F4827"/>
    <w:rsid w:val="009F483F"/>
    <w:rsid w:val="009F540C"/>
    <w:rsid w:val="009F5879"/>
    <w:rsid w:val="009F5D42"/>
    <w:rsid w:val="009F646A"/>
    <w:rsid w:val="009F6A57"/>
    <w:rsid w:val="009F7120"/>
    <w:rsid w:val="009F7D10"/>
    <w:rsid w:val="00A00223"/>
    <w:rsid w:val="00A0082A"/>
    <w:rsid w:val="00A009F8"/>
    <w:rsid w:val="00A01080"/>
    <w:rsid w:val="00A012FA"/>
    <w:rsid w:val="00A0144F"/>
    <w:rsid w:val="00A017EA"/>
    <w:rsid w:val="00A01814"/>
    <w:rsid w:val="00A01B68"/>
    <w:rsid w:val="00A0226C"/>
    <w:rsid w:val="00A023E5"/>
    <w:rsid w:val="00A026A4"/>
    <w:rsid w:val="00A02CE9"/>
    <w:rsid w:val="00A02ECB"/>
    <w:rsid w:val="00A030DD"/>
    <w:rsid w:val="00A03373"/>
    <w:rsid w:val="00A03545"/>
    <w:rsid w:val="00A0387E"/>
    <w:rsid w:val="00A045C5"/>
    <w:rsid w:val="00A05532"/>
    <w:rsid w:val="00A05564"/>
    <w:rsid w:val="00A05846"/>
    <w:rsid w:val="00A05D04"/>
    <w:rsid w:val="00A06974"/>
    <w:rsid w:val="00A07323"/>
    <w:rsid w:val="00A07A99"/>
    <w:rsid w:val="00A07EF2"/>
    <w:rsid w:val="00A105D9"/>
    <w:rsid w:val="00A105E9"/>
    <w:rsid w:val="00A1074B"/>
    <w:rsid w:val="00A10D77"/>
    <w:rsid w:val="00A1135E"/>
    <w:rsid w:val="00A11444"/>
    <w:rsid w:val="00A114D5"/>
    <w:rsid w:val="00A1160E"/>
    <w:rsid w:val="00A119B9"/>
    <w:rsid w:val="00A11FDA"/>
    <w:rsid w:val="00A12470"/>
    <w:rsid w:val="00A12D08"/>
    <w:rsid w:val="00A12D0D"/>
    <w:rsid w:val="00A12EA3"/>
    <w:rsid w:val="00A134C9"/>
    <w:rsid w:val="00A1356A"/>
    <w:rsid w:val="00A136A2"/>
    <w:rsid w:val="00A13D9F"/>
    <w:rsid w:val="00A14D25"/>
    <w:rsid w:val="00A14D75"/>
    <w:rsid w:val="00A15079"/>
    <w:rsid w:val="00A15090"/>
    <w:rsid w:val="00A150FE"/>
    <w:rsid w:val="00A152E1"/>
    <w:rsid w:val="00A15E7F"/>
    <w:rsid w:val="00A16B19"/>
    <w:rsid w:val="00A16D0A"/>
    <w:rsid w:val="00A16DA2"/>
    <w:rsid w:val="00A16DE4"/>
    <w:rsid w:val="00A171CD"/>
    <w:rsid w:val="00A17D88"/>
    <w:rsid w:val="00A20FC0"/>
    <w:rsid w:val="00A21138"/>
    <w:rsid w:val="00A211DC"/>
    <w:rsid w:val="00A21FFA"/>
    <w:rsid w:val="00A2226B"/>
    <w:rsid w:val="00A22A3C"/>
    <w:rsid w:val="00A22F24"/>
    <w:rsid w:val="00A22FA7"/>
    <w:rsid w:val="00A239BB"/>
    <w:rsid w:val="00A23FD7"/>
    <w:rsid w:val="00A241E7"/>
    <w:rsid w:val="00A2427A"/>
    <w:rsid w:val="00A246B6"/>
    <w:rsid w:val="00A247C7"/>
    <w:rsid w:val="00A24A38"/>
    <w:rsid w:val="00A24ACD"/>
    <w:rsid w:val="00A24C0E"/>
    <w:rsid w:val="00A24F5C"/>
    <w:rsid w:val="00A2503E"/>
    <w:rsid w:val="00A25399"/>
    <w:rsid w:val="00A258AD"/>
    <w:rsid w:val="00A25B04"/>
    <w:rsid w:val="00A26108"/>
    <w:rsid w:val="00A26493"/>
    <w:rsid w:val="00A264E4"/>
    <w:rsid w:val="00A27361"/>
    <w:rsid w:val="00A273C3"/>
    <w:rsid w:val="00A278DF"/>
    <w:rsid w:val="00A27C25"/>
    <w:rsid w:val="00A3032C"/>
    <w:rsid w:val="00A30385"/>
    <w:rsid w:val="00A304AA"/>
    <w:rsid w:val="00A30740"/>
    <w:rsid w:val="00A30CF1"/>
    <w:rsid w:val="00A30D92"/>
    <w:rsid w:val="00A30DC3"/>
    <w:rsid w:val="00A30E71"/>
    <w:rsid w:val="00A31489"/>
    <w:rsid w:val="00A31BD4"/>
    <w:rsid w:val="00A31D08"/>
    <w:rsid w:val="00A31FF2"/>
    <w:rsid w:val="00A3238E"/>
    <w:rsid w:val="00A323AD"/>
    <w:rsid w:val="00A323FE"/>
    <w:rsid w:val="00A32772"/>
    <w:rsid w:val="00A327D5"/>
    <w:rsid w:val="00A32F9B"/>
    <w:rsid w:val="00A33048"/>
    <w:rsid w:val="00A334BC"/>
    <w:rsid w:val="00A335FB"/>
    <w:rsid w:val="00A33773"/>
    <w:rsid w:val="00A33B2B"/>
    <w:rsid w:val="00A33B76"/>
    <w:rsid w:val="00A33B9B"/>
    <w:rsid w:val="00A33D14"/>
    <w:rsid w:val="00A33D7E"/>
    <w:rsid w:val="00A33ECE"/>
    <w:rsid w:val="00A33EE9"/>
    <w:rsid w:val="00A3445B"/>
    <w:rsid w:val="00A34F89"/>
    <w:rsid w:val="00A35287"/>
    <w:rsid w:val="00A357C9"/>
    <w:rsid w:val="00A35FBE"/>
    <w:rsid w:val="00A361B5"/>
    <w:rsid w:val="00A40377"/>
    <w:rsid w:val="00A40FBE"/>
    <w:rsid w:val="00A414DF"/>
    <w:rsid w:val="00A41A53"/>
    <w:rsid w:val="00A41D5C"/>
    <w:rsid w:val="00A429FD"/>
    <w:rsid w:val="00A42F0A"/>
    <w:rsid w:val="00A43E80"/>
    <w:rsid w:val="00A43FCA"/>
    <w:rsid w:val="00A442F3"/>
    <w:rsid w:val="00A4457F"/>
    <w:rsid w:val="00A44A44"/>
    <w:rsid w:val="00A453C8"/>
    <w:rsid w:val="00A45852"/>
    <w:rsid w:val="00A45B4F"/>
    <w:rsid w:val="00A45FD8"/>
    <w:rsid w:val="00A46142"/>
    <w:rsid w:val="00A4614C"/>
    <w:rsid w:val="00A461E3"/>
    <w:rsid w:val="00A4666A"/>
    <w:rsid w:val="00A47540"/>
    <w:rsid w:val="00A47645"/>
    <w:rsid w:val="00A47A26"/>
    <w:rsid w:val="00A47FDA"/>
    <w:rsid w:val="00A5073B"/>
    <w:rsid w:val="00A5074B"/>
    <w:rsid w:val="00A5100D"/>
    <w:rsid w:val="00A511F4"/>
    <w:rsid w:val="00A5121C"/>
    <w:rsid w:val="00A5125D"/>
    <w:rsid w:val="00A518D3"/>
    <w:rsid w:val="00A51FFA"/>
    <w:rsid w:val="00A5208E"/>
    <w:rsid w:val="00A5209F"/>
    <w:rsid w:val="00A522AA"/>
    <w:rsid w:val="00A5256B"/>
    <w:rsid w:val="00A52BDE"/>
    <w:rsid w:val="00A52DB6"/>
    <w:rsid w:val="00A53014"/>
    <w:rsid w:val="00A53120"/>
    <w:rsid w:val="00A53A10"/>
    <w:rsid w:val="00A53BA4"/>
    <w:rsid w:val="00A541FD"/>
    <w:rsid w:val="00A545D5"/>
    <w:rsid w:val="00A54B8D"/>
    <w:rsid w:val="00A55437"/>
    <w:rsid w:val="00A5595D"/>
    <w:rsid w:val="00A55E11"/>
    <w:rsid w:val="00A569CF"/>
    <w:rsid w:val="00A56BA8"/>
    <w:rsid w:val="00A56EA3"/>
    <w:rsid w:val="00A571C5"/>
    <w:rsid w:val="00A5763E"/>
    <w:rsid w:val="00A5795B"/>
    <w:rsid w:val="00A57B92"/>
    <w:rsid w:val="00A57CBC"/>
    <w:rsid w:val="00A6015D"/>
    <w:rsid w:val="00A604A9"/>
    <w:rsid w:val="00A608EB"/>
    <w:rsid w:val="00A60905"/>
    <w:rsid w:val="00A60C82"/>
    <w:rsid w:val="00A6125C"/>
    <w:rsid w:val="00A6251F"/>
    <w:rsid w:val="00A62852"/>
    <w:rsid w:val="00A62BE8"/>
    <w:rsid w:val="00A637C7"/>
    <w:rsid w:val="00A63AEB"/>
    <w:rsid w:val="00A65F6A"/>
    <w:rsid w:val="00A666AF"/>
    <w:rsid w:val="00A667E1"/>
    <w:rsid w:val="00A66B7C"/>
    <w:rsid w:val="00A673B1"/>
    <w:rsid w:val="00A678A2"/>
    <w:rsid w:val="00A67B1F"/>
    <w:rsid w:val="00A67FB9"/>
    <w:rsid w:val="00A702E0"/>
    <w:rsid w:val="00A70478"/>
    <w:rsid w:val="00A7056F"/>
    <w:rsid w:val="00A7059A"/>
    <w:rsid w:val="00A705AA"/>
    <w:rsid w:val="00A70AAA"/>
    <w:rsid w:val="00A71325"/>
    <w:rsid w:val="00A716EE"/>
    <w:rsid w:val="00A71E35"/>
    <w:rsid w:val="00A71F7F"/>
    <w:rsid w:val="00A7248B"/>
    <w:rsid w:val="00A72756"/>
    <w:rsid w:val="00A72906"/>
    <w:rsid w:val="00A72C5E"/>
    <w:rsid w:val="00A74365"/>
    <w:rsid w:val="00A748BB"/>
    <w:rsid w:val="00A74904"/>
    <w:rsid w:val="00A74BFF"/>
    <w:rsid w:val="00A74DCF"/>
    <w:rsid w:val="00A7572D"/>
    <w:rsid w:val="00A75D98"/>
    <w:rsid w:val="00A75DF7"/>
    <w:rsid w:val="00A7624B"/>
    <w:rsid w:val="00A7635D"/>
    <w:rsid w:val="00A76465"/>
    <w:rsid w:val="00A76674"/>
    <w:rsid w:val="00A767BA"/>
    <w:rsid w:val="00A7686F"/>
    <w:rsid w:val="00A7687F"/>
    <w:rsid w:val="00A76B83"/>
    <w:rsid w:val="00A76C5A"/>
    <w:rsid w:val="00A77133"/>
    <w:rsid w:val="00A77913"/>
    <w:rsid w:val="00A77D07"/>
    <w:rsid w:val="00A77F60"/>
    <w:rsid w:val="00A804D4"/>
    <w:rsid w:val="00A806A7"/>
    <w:rsid w:val="00A80918"/>
    <w:rsid w:val="00A812B1"/>
    <w:rsid w:val="00A81ADD"/>
    <w:rsid w:val="00A81BB2"/>
    <w:rsid w:val="00A820EE"/>
    <w:rsid w:val="00A8213A"/>
    <w:rsid w:val="00A8280A"/>
    <w:rsid w:val="00A829EF"/>
    <w:rsid w:val="00A82AF7"/>
    <w:rsid w:val="00A8319D"/>
    <w:rsid w:val="00A836D5"/>
    <w:rsid w:val="00A836FF"/>
    <w:rsid w:val="00A83760"/>
    <w:rsid w:val="00A83CD3"/>
    <w:rsid w:val="00A8418D"/>
    <w:rsid w:val="00A846D6"/>
    <w:rsid w:val="00A84E82"/>
    <w:rsid w:val="00A84F8B"/>
    <w:rsid w:val="00A85CCD"/>
    <w:rsid w:val="00A85FA1"/>
    <w:rsid w:val="00A85FFB"/>
    <w:rsid w:val="00A865EB"/>
    <w:rsid w:val="00A86AB8"/>
    <w:rsid w:val="00A900BE"/>
    <w:rsid w:val="00A9014E"/>
    <w:rsid w:val="00A906AD"/>
    <w:rsid w:val="00A907EC"/>
    <w:rsid w:val="00A908B2"/>
    <w:rsid w:val="00A909A5"/>
    <w:rsid w:val="00A90E28"/>
    <w:rsid w:val="00A90F9D"/>
    <w:rsid w:val="00A913F9"/>
    <w:rsid w:val="00A918E5"/>
    <w:rsid w:val="00A92236"/>
    <w:rsid w:val="00A922A9"/>
    <w:rsid w:val="00A92857"/>
    <w:rsid w:val="00A92967"/>
    <w:rsid w:val="00A929B8"/>
    <w:rsid w:val="00A92A36"/>
    <w:rsid w:val="00A92A87"/>
    <w:rsid w:val="00A92C1C"/>
    <w:rsid w:val="00A92F4F"/>
    <w:rsid w:val="00A92FFF"/>
    <w:rsid w:val="00A93252"/>
    <w:rsid w:val="00A9376C"/>
    <w:rsid w:val="00A938AF"/>
    <w:rsid w:val="00A93B57"/>
    <w:rsid w:val="00A93FE9"/>
    <w:rsid w:val="00A940FB"/>
    <w:rsid w:val="00A94687"/>
    <w:rsid w:val="00A94896"/>
    <w:rsid w:val="00A94AAB"/>
    <w:rsid w:val="00A952BE"/>
    <w:rsid w:val="00A95604"/>
    <w:rsid w:val="00A95B21"/>
    <w:rsid w:val="00A95EC9"/>
    <w:rsid w:val="00A96245"/>
    <w:rsid w:val="00A964A3"/>
    <w:rsid w:val="00A96657"/>
    <w:rsid w:val="00A96965"/>
    <w:rsid w:val="00A96EBA"/>
    <w:rsid w:val="00A96F67"/>
    <w:rsid w:val="00A97063"/>
    <w:rsid w:val="00A97C52"/>
    <w:rsid w:val="00A97CDB"/>
    <w:rsid w:val="00AA01A1"/>
    <w:rsid w:val="00AA057B"/>
    <w:rsid w:val="00AA057E"/>
    <w:rsid w:val="00AA0667"/>
    <w:rsid w:val="00AA0F25"/>
    <w:rsid w:val="00AA0F99"/>
    <w:rsid w:val="00AA1045"/>
    <w:rsid w:val="00AA126B"/>
    <w:rsid w:val="00AA15C3"/>
    <w:rsid w:val="00AA1D2F"/>
    <w:rsid w:val="00AA21E4"/>
    <w:rsid w:val="00AA307B"/>
    <w:rsid w:val="00AA3EB6"/>
    <w:rsid w:val="00AA4AFC"/>
    <w:rsid w:val="00AA4CA0"/>
    <w:rsid w:val="00AA4D73"/>
    <w:rsid w:val="00AA5D58"/>
    <w:rsid w:val="00AA65C3"/>
    <w:rsid w:val="00AA6600"/>
    <w:rsid w:val="00AA6959"/>
    <w:rsid w:val="00AA6CCD"/>
    <w:rsid w:val="00AA6D2B"/>
    <w:rsid w:val="00AA6D39"/>
    <w:rsid w:val="00AA6F88"/>
    <w:rsid w:val="00AA7D11"/>
    <w:rsid w:val="00AA7E69"/>
    <w:rsid w:val="00AB0097"/>
    <w:rsid w:val="00AB04C1"/>
    <w:rsid w:val="00AB0FC0"/>
    <w:rsid w:val="00AB10BE"/>
    <w:rsid w:val="00AB204D"/>
    <w:rsid w:val="00AB24F1"/>
    <w:rsid w:val="00AB2620"/>
    <w:rsid w:val="00AB2AF1"/>
    <w:rsid w:val="00AB30E2"/>
    <w:rsid w:val="00AB446C"/>
    <w:rsid w:val="00AB56A7"/>
    <w:rsid w:val="00AB5A55"/>
    <w:rsid w:val="00AB5C16"/>
    <w:rsid w:val="00AB6727"/>
    <w:rsid w:val="00AB7346"/>
    <w:rsid w:val="00AB7691"/>
    <w:rsid w:val="00AC0246"/>
    <w:rsid w:val="00AC02FD"/>
    <w:rsid w:val="00AC058E"/>
    <w:rsid w:val="00AC0953"/>
    <w:rsid w:val="00AC0ADB"/>
    <w:rsid w:val="00AC0D27"/>
    <w:rsid w:val="00AC0E46"/>
    <w:rsid w:val="00AC0F8A"/>
    <w:rsid w:val="00AC131C"/>
    <w:rsid w:val="00AC1D2D"/>
    <w:rsid w:val="00AC1E09"/>
    <w:rsid w:val="00AC1E9B"/>
    <w:rsid w:val="00AC1FC9"/>
    <w:rsid w:val="00AC21D7"/>
    <w:rsid w:val="00AC242C"/>
    <w:rsid w:val="00AC2C1F"/>
    <w:rsid w:val="00AC3075"/>
    <w:rsid w:val="00AC3805"/>
    <w:rsid w:val="00AC3948"/>
    <w:rsid w:val="00AC4565"/>
    <w:rsid w:val="00AC4ADA"/>
    <w:rsid w:val="00AC4B6C"/>
    <w:rsid w:val="00AC508E"/>
    <w:rsid w:val="00AC58EA"/>
    <w:rsid w:val="00AC5C46"/>
    <w:rsid w:val="00AC619E"/>
    <w:rsid w:val="00AC648D"/>
    <w:rsid w:val="00AC6490"/>
    <w:rsid w:val="00AC6A4B"/>
    <w:rsid w:val="00AC71B7"/>
    <w:rsid w:val="00AD055F"/>
    <w:rsid w:val="00AD0632"/>
    <w:rsid w:val="00AD1266"/>
    <w:rsid w:val="00AD172F"/>
    <w:rsid w:val="00AD1EDB"/>
    <w:rsid w:val="00AD21C3"/>
    <w:rsid w:val="00AD2E3D"/>
    <w:rsid w:val="00AD3263"/>
    <w:rsid w:val="00AD36DE"/>
    <w:rsid w:val="00AD3881"/>
    <w:rsid w:val="00AD3BE7"/>
    <w:rsid w:val="00AD3E05"/>
    <w:rsid w:val="00AD3EB3"/>
    <w:rsid w:val="00AD4C73"/>
    <w:rsid w:val="00AD57AB"/>
    <w:rsid w:val="00AD58C4"/>
    <w:rsid w:val="00AD5B7C"/>
    <w:rsid w:val="00AD5BD5"/>
    <w:rsid w:val="00AD5E35"/>
    <w:rsid w:val="00AD65B4"/>
    <w:rsid w:val="00AD678B"/>
    <w:rsid w:val="00AD698C"/>
    <w:rsid w:val="00AD6A89"/>
    <w:rsid w:val="00AD6D26"/>
    <w:rsid w:val="00AD6D30"/>
    <w:rsid w:val="00AD6ED9"/>
    <w:rsid w:val="00AD7147"/>
    <w:rsid w:val="00AD781A"/>
    <w:rsid w:val="00AD7947"/>
    <w:rsid w:val="00AE014B"/>
    <w:rsid w:val="00AE0761"/>
    <w:rsid w:val="00AE0BD3"/>
    <w:rsid w:val="00AE1545"/>
    <w:rsid w:val="00AE1A8D"/>
    <w:rsid w:val="00AE249C"/>
    <w:rsid w:val="00AE2E3D"/>
    <w:rsid w:val="00AE2EAF"/>
    <w:rsid w:val="00AE2F96"/>
    <w:rsid w:val="00AE3835"/>
    <w:rsid w:val="00AE41AC"/>
    <w:rsid w:val="00AE4CE3"/>
    <w:rsid w:val="00AE501F"/>
    <w:rsid w:val="00AE53E7"/>
    <w:rsid w:val="00AE5853"/>
    <w:rsid w:val="00AE5FF1"/>
    <w:rsid w:val="00AE620D"/>
    <w:rsid w:val="00AE6616"/>
    <w:rsid w:val="00AE7013"/>
    <w:rsid w:val="00AE7119"/>
    <w:rsid w:val="00AE7ABA"/>
    <w:rsid w:val="00AE7CDE"/>
    <w:rsid w:val="00AE7D0D"/>
    <w:rsid w:val="00AF0E80"/>
    <w:rsid w:val="00AF0F7C"/>
    <w:rsid w:val="00AF17F0"/>
    <w:rsid w:val="00AF1997"/>
    <w:rsid w:val="00AF21A2"/>
    <w:rsid w:val="00AF23B5"/>
    <w:rsid w:val="00AF26A7"/>
    <w:rsid w:val="00AF270E"/>
    <w:rsid w:val="00AF2791"/>
    <w:rsid w:val="00AF2999"/>
    <w:rsid w:val="00AF2B98"/>
    <w:rsid w:val="00AF2C4D"/>
    <w:rsid w:val="00AF2F88"/>
    <w:rsid w:val="00AF377A"/>
    <w:rsid w:val="00AF3ACB"/>
    <w:rsid w:val="00AF3B21"/>
    <w:rsid w:val="00AF3BE1"/>
    <w:rsid w:val="00AF3F44"/>
    <w:rsid w:val="00AF3F98"/>
    <w:rsid w:val="00AF4397"/>
    <w:rsid w:val="00AF47BC"/>
    <w:rsid w:val="00AF4DD5"/>
    <w:rsid w:val="00AF50C5"/>
    <w:rsid w:val="00AF5633"/>
    <w:rsid w:val="00AF58E4"/>
    <w:rsid w:val="00AF5B42"/>
    <w:rsid w:val="00AF5B74"/>
    <w:rsid w:val="00AF5BE0"/>
    <w:rsid w:val="00AF5F50"/>
    <w:rsid w:val="00AF6AD5"/>
    <w:rsid w:val="00AF6C27"/>
    <w:rsid w:val="00AF6D7C"/>
    <w:rsid w:val="00AF6F8F"/>
    <w:rsid w:val="00AF72CB"/>
    <w:rsid w:val="00AF7452"/>
    <w:rsid w:val="00AF7A63"/>
    <w:rsid w:val="00B006EC"/>
    <w:rsid w:val="00B00A87"/>
    <w:rsid w:val="00B013CB"/>
    <w:rsid w:val="00B01F30"/>
    <w:rsid w:val="00B0219A"/>
    <w:rsid w:val="00B028EB"/>
    <w:rsid w:val="00B03424"/>
    <w:rsid w:val="00B03426"/>
    <w:rsid w:val="00B0375D"/>
    <w:rsid w:val="00B0389B"/>
    <w:rsid w:val="00B03910"/>
    <w:rsid w:val="00B03CE8"/>
    <w:rsid w:val="00B03D7F"/>
    <w:rsid w:val="00B04D08"/>
    <w:rsid w:val="00B05B2B"/>
    <w:rsid w:val="00B06036"/>
    <w:rsid w:val="00B06475"/>
    <w:rsid w:val="00B0696C"/>
    <w:rsid w:val="00B06C96"/>
    <w:rsid w:val="00B06D5E"/>
    <w:rsid w:val="00B06F01"/>
    <w:rsid w:val="00B07128"/>
    <w:rsid w:val="00B07539"/>
    <w:rsid w:val="00B07644"/>
    <w:rsid w:val="00B07705"/>
    <w:rsid w:val="00B077A6"/>
    <w:rsid w:val="00B07850"/>
    <w:rsid w:val="00B07933"/>
    <w:rsid w:val="00B10124"/>
    <w:rsid w:val="00B10B53"/>
    <w:rsid w:val="00B10F6D"/>
    <w:rsid w:val="00B11126"/>
    <w:rsid w:val="00B11192"/>
    <w:rsid w:val="00B117F1"/>
    <w:rsid w:val="00B11842"/>
    <w:rsid w:val="00B1200A"/>
    <w:rsid w:val="00B1219D"/>
    <w:rsid w:val="00B1223A"/>
    <w:rsid w:val="00B129E5"/>
    <w:rsid w:val="00B12F0D"/>
    <w:rsid w:val="00B12F32"/>
    <w:rsid w:val="00B12F3C"/>
    <w:rsid w:val="00B13018"/>
    <w:rsid w:val="00B1325B"/>
    <w:rsid w:val="00B1362E"/>
    <w:rsid w:val="00B13A9C"/>
    <w:rsid w:val="00B13ADC"/>
    <w:rsid w:val="00B1420D"/>
    <w:rsid w:val="00B1430E"/>
    <w:rsid w:val="00B144DE"/>
    <w:rsid w:val="00B14540"/>
    <w:rsid w:val="00B14722"/>
    <w:rsid w:val="00B149EC"/>
    <w:rsid w:val="00B1517F"/>
    <w:rsid w:val="00B1579D"/>
    <w:rsid w:val="00B157E5"/>
    <w:rsid w:val="00B16833"/>
    <w:rsid w:val="00B16CB1"/>
    <w:rsid w:val="00B1709B"/>
    <w:rsid w:val="00B1715F"/>
    <w:rsid w:val="00B17BE4"/>
    <w:rsid w:val="00B2175B"/>
    <w:rsid w:val="00B21986"/>
    <w:rsid w:val="00B21C2F"/>
    <w:rsid w:val="00B21DDA"/>
    <w:rsid w:val="00B22120"/>
    <w:rsid w:val="00B2226D"/>
    <w:rsid w:val="00B22391"/>
    <w:rsid w:val="00B225B1"/>
    <w:rsid w:val="00B226FF"/>
    <w:rsid w:val="00B2274A"/>
    <w:rsid w:val="00B22891"/>
    <w:rsid w:val="00B22A8D"/>
    <w:rsid w:val="00B23313"/>
    <w:rsid w:val="00B245D6"/>
    <w:rsid w:val="00B249B2"/>
    <w:rsid w:val="00B249B3"/>
    <w:rsid w:val="00B2597B"/>
    <w:rsid w:val="00B262F1"/>
    <w:rsid w:val="00B26F5C"/>
    <w:rsid w:val="00B26FE0"/>
    <w:rsid w:val="00B271E9"/>
    <w:rsid w:val="00B272F2"/>
    <w:rsid w:val="00B27A70"/>
    <w:rsid w:val="00B30B49"/>
    <w:rsid w:val="00B3189F"/>
    <w:rsid w:val="00B31E1D"/>
    <w:rsid w:val="00B325D0"/>
    <w:rsid w:val="00B32DB8"/>
    <w:rsid w:val="00B332D6"/>
    <w:rsid w:val="00B33688"/>
    <w:rsid w:val="00B3369A"/>
    <w:rsid w:val="00B33857"/>
    <w:rsid w:val="00B33A88"/>
    <w:rsid w:val="00B33C63"/>
    <w:rsid w:val="00B33F1B"/>
    <w:rsid w:val="00B34F1F"/>
    <w:rsid w:val="00B3501C"/>
    <w:rsid w:val="00B35537"/>
    <w:rsid w:val="00B35D23"/>
    <w:rsid w:val="00B361B5"/>
    <w:rsid w:val="00B36478"/>
    <w:rsid w:val="00B3648C"/>
    <w:rsid w:val="00B36E16"/>
    <w:rsid w:val="00B3700D"/>
    <w:rsid w:val="00B3724F"/>
    <w:rsid w:val="00B37725"/>
    <w:rsid w:val="00B37ADE"/>
    <w:rsid w:val="00B402A5"/>
    <w:rsid w:val="00B41211"/>
    <w:rsid w:val="00B41265"/>
    <w:rsid w:val="00B4138D"/>
    <w:rsid w:val="00B4165D"/>
    <w:rsid w:val="00B41703"/>
    <w:rsid w:val="00B42315"/>
    <w:rsid w:val="00B42600"/>
    <w:rsid w:val="00B426CF"/>
    <w:rsid w:val="00B42FDA"/>
    <w:rsid w:val="00B4458E"/>
    <w:rsid w:val="00B44F4B"/>
    <w:rsid w:val="00B45300"/>
    <w:rsid w:val="00B45878"/>
    <w:rsid w:val="00B458A5"/>
    <w:rsid w:val="00B45B6B"/>
    <w:rsid w:val="00B45DD3"/>
    <w:rsid w:val="00B46399"/>
    <w:rsid w:val="00B46859"/>
    <w:rsid w:val="00B469AB"/>
    <w:rsid w:val="00B472A6"/>
    <w:rsid w:val="00B476C0"/>
    <w:rsid w:val="00B47742"/>
    <w:rsid w:val="00B47774"/>
    <w:rsid w:val="00B47AE7"/>
    <w:rsid w:val="00B5014D"/>
    <w:rsid w:val="00B50164"/>
    <w:rsid w:val="00B503F4"/>
    <w:rsid w:val="00B50A5E"/>
    <w:rsid w:val="00B50CD2"/>
    <w:rsid w:val="00B50D58"/>
    <w:rsid w:val="00B50E36"/>
    <w:rsid w:val="00B5137C"/>
    <w:rsid w:val="00B5194F"/>
    <w:rsid w:val="00B51EDC"/>
    <w:rsid w:val="00B51F6B"/>
    <w:rsid w:val="00B52896"/>
    <w:rsid w:val="00B53A02"/>
    <w:rsid w:val="00B53AFB"/>
    <w:rsid w:val="00B53BDA"/>
    <w:rsid w:val="00B548E0"/>
    <w:rsid w:val="00B54C6F"/>
    <w:rsid w:val="00B54DE5"/>
    <w:rsid w:val="00B55060"/>
    <w:rsid w:val="00B5510A"/>
    <w:rsid w:val="00B554FD"/>
    <w:rsid w:val="00B55A8B"/>
    <w:rsid w:val="00B55FC7"/>
    <w:rsid w:val="00B56064"/>
    <w:rsid w:val="00B569EF"/>
    <w:rsid w:val="00B56C0C"/>
    <w:rsid w:val="00B57185"/>
    <w:rsid w:val="00B57F1B"/>
    <w:rsid w:val="00B60184"/>
    <w:rsid w:val="00B601BD"/>
    <w:rsid w:val="00B6080B"/>
    <w:rsid w:val="00B6096F"/>
    <w:rsid w:val="00B61718"/>
    <w:rsid w:val="00B61982"/>
    <w:rsid w:val="00B61E1E"/>
    <w:rsid w:val="00B62191"/>
    <w:rsid w:val="00B623CC"/>
    <w:rsid w:val="00B62919"/>
    <w:rsid w:val="00B62D5A"/>
    <w:rsid w:val="00B62F49"/>
    <w:rsid w:val="00B6329B"/>
    <w:rsid w:val="00B63ECF"/>
    <w:rsid w:val="00B63FE9"/>
    <w:rsid w:val="00B64A5F"/>
    <w:rsid w:val="00B64CBE"/>
    <w:rsid w:val="00B65353"/>
    <w:rsid w:val="00B65AAD"/>
    <w:rsid w:val="00B65E48"/>
    <w:rsid w:val="00B66788"/>
    <w:rsid w:val="00B66D3F"/>
    <w:rsid w:val="00B6747B"/>
    <w:rsid w:val="00B675B1"/>
    <w:rsid w:val="00B67626"/>
    <w:rsid w:val="00B6767B"/>
    <w:rsid w:val="00B67C53"/>
    <w:rsid w:val="00B67E32"/>
    <w:rsid w:val="00B706BE"/>
    <w:rsid w:val="00B7076E"/>
    <w:rsid w:val="00B70780"/>
    <w:rsid w:val="00B70D11"/>
    <w:rsid w:val="00B70E71"/>
    <w:rsid w:val="00B7193C"/>
    <w:rsid w:val="00B727C5"/>
    <w:rsid w:val="00B72A47"/>
    <w:rsid w:val="00B738AA"/>
    <w:rsid w:val="00B743B7"/>
    <w:rsid w:val="00B74568"/>
    <w:rsid w:val="00B74673"/>
    <w:rsid w:val="00B74E2E"/>
    <w:rsid w:val="00B75024"/>
    <w:rsid w:val="00B753F3"/>
    <w:rsid w:val="00B754CF"/>
    <w:rsid w:val="00B75705"/>
    <w:rsid w:val="00B75B5E"/>
    <w:rsid w:val="00B75DC6"/>
    <w:rsid w:val="00B75DFA"/>
    <w:rsid w:val="00B75E94"/>
    <w:rsid w:val="00B75EAC"/>
    <w:rsid w:val="00B76338"/>
    <w:rsid w:val="00B76389"/>
    <w:rsid w:val="00B76BBF"/>
    <w:rsid w:val="00B7718B"/>
    <w:rsid w:val="00B778DB"/>
    <w:rsid w:val="00B77AB2"/>
    <w:rsid w:val="00B77BD7"/>
    <w:rsid w:val="00B77D75"/>
    <w:rsid w:val="00B8008F"/>
    <w:rsid w:val="00B801B0"/>
    <w:rsid w:val="00B80A76"/>
    <w:rsid w:val="00B812F3"/>
    <w:rsid w:val="00B81982"/>
    <w:rsid w:val="00B81BD1"/>
    <w:rsid w:val="00B81FAB"/>
    <w:rsid w:val="00B823B6"/>
    <w:rsid w:val="00B82C17"/>
    <w:rsid w:val="00B82C18"/>
    <w:rsid w:val="00B830FB"/>
    <w:rsid w:val="00B831CF"/>
    <w:rsid w:val="00B83326"/>
    <w:rsid w:val="00B83FF0"/>
    <w:rsid w:val="00B84058"/>
    <w:rsid w:val="00B84701"/>
    <w:rsid w:val="00B84711"/>
    <w:rsid w:val="00B849BE"/>
    <w:rsid w:val="00B84E53"/>
    <w:rsid w:val="00B852B8"/>
    <w:rsid w:val="00B852CF"/>
    <w:rsid w:val="00B85389"/>
    <w:rsid w:val="00B855F5"/>
    <w:rsid w:val="00B85C80"/>
    <w:rsid w:val="00B8609B"/>
    <w:rsid w:val="00B8674B"/>
    <w:rsid w:val="00B870F1"/>
    <w:rsid w:val="00B873D9"/>
    <w:rsid w:val="00B87963"/>
    <w:rsid w:val="00B87CD2"/>
    <w:rsid w:val="00B87E30"/>
    <w:rsid w:val="00B87F86"/>
    <w:rsid w:val="00B90082"/>
    <w:rsid w:val="00B90517"/>
    <w:rsid w:val="00B90A7C"/>
    <w:rsid w:val="00B910B4"/>
    <w:rsid w:val="00B9156D"/>
    <w:rsid w:val="00B91C9F"/>
    <w:rsid w:val="00B92874"/>
    <w:rsid w:val="00B92973"/>
    <w:rsid w:val="00B92C21"/>
    <w:rsid w:val="00B932B4"/>
    <w:rsid w:val="00B932E5"/>
    <w:rsid w:val="00B934AE"/>
    <w:rsid w:val="00B93615"/>
    <w:rsid w:val="00B938D6"/>
    <w:rsid w:val="00B93AA9"/>
    <w:rsid w:val="00B93D9C"/>
    <w:rsid w:val="00B95176"/>
    <w:rsid w:val="00B95530"/>
    <w:rsid w:val="00B9574D"/>
    <w:rsid w:val="00B95BF5"/>
    <w:rsid w:val="00B95EA3"/>
    <w:rsid w:val="00B96490"/>
    <w:rsid w:val="00B9665B"/>
    <w:rsid w:val="00B96766"/>
    <w:rsid w:val="00B96A6F"/>
    <w:rsid w:val="00B96E53"/>
    <w:rsid w:val="00B96F21"/>
    <w:rsid w:val="00B97709"/>
    <w:rsid w:val="00B97CCA"/>
    <w:rsid w:val="00BA085A"/>
    <w:rsid w:val="00BA0926"/>
    <w:rsid w:val="00BA15B3"/>
    <w:rsid w:val="00BA227A"/>
    <w:rsid w:val="00BA259B"/>
    <w:rsid w:val="00BA2892"/>
    <w:rsid w:val="00BA2B0D"/>
    <w:rsid w:val="00BA2F94"/>
    <w:rsid w:val="00BA3478"/>
    <w:rsid w:val="00BA3BD7"/>
    <w:rsid w:val="00BA41FA"/>
    <w:rsid w:val="00BA4958"/>
    <w:rsid w:val="00BA4C8A"/>
    <w:rsid w:val="00BA4FD3"/>
    <w:rsid w:val="00BA547A"/>
    <w:rsid w:val="00BA5538"/>
    <w:rsid w:val="00BA5A0F"/>
    <w:rsid w:val="00BA5ACA"/>
    <w:rsid w:val="00BA6130"/>
    <w:rsid w:val="00BA62E5"/>
    <w:rsid w:val="00BA66DD"/>
    <w:rsid w:val="00BA6781"/>
    <w:rsid w:val="00BA6A3B"/>
    <w:rsid w:val="00BA73B3"/>
    <w:rsid w:val="00BA7C54"/>
    <w:rsid w:val="00BA7EAE"/>
    <w:rsid w:val="00BB068A"/>
    <w:rsid w:val="00BB0783"/>
    <w:rsid w:val="00BB0FC1"/>
    <w:rsid w:val="00BB1A46"/>
    <w:rsid w:val="00BB1A5F"/>
    <w:rsid w:val="00BB1D84"/>
    <w:rsid w:val="00BB1DEB"/>
    <w:rsid w:val="00BB2250"/>
    <w:rsid w:val="00BB24DC"/>
    <w:rsid w:val="00BB291A"/>
    <w:rsid w:val="00BB31A2"/>
    <w:rsid w:val="00BB31D0"/>
    <w:rsid w:val="00BB3230"/>
    <w:rsid w:val="00BB4259"/>
    <w:rsid w:val="00BB44F4"/>
    <w:rsid w:val="00BB4798"/>
    <w:rsid w:val="00BB4C23"/>
    <w:rsid w:val="00BB4E5B"/>
    <w:rsid w:val="00BB564D"/>
    <w:rsid w:val="00BB5E63"/>
    <w:rsid w:val="00BB5E8A"/>
    <w:rsid w:val="00BB6485"/>
    <w:rsid w:val="00BB6876"/>
    <w:rsid w:val="00BB6F86"/>
    <w:rsid w:val="00BB759B"/>
    <w:rsid w:val="00BB7BC7"/>
    <w:rsid w:val="00BC0297"/>
    <w:rsid w:val="00BC0452"/>
    <w:rsid w:val="00BC105B"/>
    <w:rsid w:val="00BC159A"/>
    <w:rsid w:val="00BC18F4"/>
    <w:rsid w:val="00BC2942"/>
    <w:rsid w:val="00BC2A54"/>
    <w:rsid w:val="00BC3229"/>
    <w:rsid w:val="00BC3360"/>
    <w:rsid w:val="00BC36B2"/>
    <w:rsid w:val="00BC46F0"/>
    <w:rsid w:val="00BC4F0D"/>
    <w:rsid w:val="00BC507F"/>
    <w:rsid w:val="00BC5743"/>
    <w:rsid w:val="00BC612B"/>
    <w:rsid w:val="00BC66AC"/>
    <w:rsid w:val="00BC6918"/>
    <w:rsid w:val="00BC6978"/>
    <w:rsid w:val="00BC6D74"/>
    <w:rsid w:val="00BC6EFE"/>
    <w:rsid w:val="00BC7121"/>
    <w:rsid w:val="00BC7165"/>
    <w:rsid w:val="00BC7220"/>
    <w:rsid w:val="00BC7451"/>
    <w:rsid w:val="00BC7695"/>
    <w:rsid w:val="00BC7D14"/>
    <w:rsid w:val="00BD00FB"/>
    <w:rsid w:val="00BD05F2"/>
    <w:rsid w:val="00BD07FB"/>
    <w:rsid w:val="00BD0828"/>
    <w:rsid w:val="00BD13B3"/>
    <w:rsid w:val="00BD14A1"/>
    <w:rsid w:val="00BD18CA"/>
    <w:rsid w:val="00BD1BA5"/>
    <w:rsid w:val="00BD1DF7"/>
    <w:rsid w:val="00BD218D"/>
    <w:rsid w:val="00BD2398"/>
    <w:rsid w:val="00BD2A09"/>
    <w:rsid w:val="00BD2D15"/>
    <w:rsid w:val="00BD365C"/>
    <w:rsid w:val="00BD38F2"/>
    <w:rsid w:val="00BD45F8"/>
    <w:rsid w:val="00BD4663"/>
    <w:rsid w:val="00BD4682"/>
    <w:rsid w:val="00BD54F9"/>
    <w:rsid w:val="00BD5C15"/>
    <w:rsid w:val="00BD5E0B"/>
    <w:rsid w:val="00BD6575"/>
    <w:rsid w:val="00BD71AE"/>
    <w:rsid w:val="00BD759E"/>
    <w:rsid w:val="00BD772D"/>
    <w:rsid w:val="00BD779A"/>
    <w:rsid w:val="00BE0019"/>
    <w:rsid w:val="00BE02E5"/>
    <w:rsid w:val="00BE03D2"/>
    <w:rsid w:val="00BE085F"/>
    <w:rsid w:val="00BE09AD"/>
    <w:rsid w:val="00BE0B30"/>
    <w:rsid w:val="00BE0C63"/>
    <w:rsid w:val="00BE10B0"/>
    <w:rsid w:val="00BE16EA"/>
    <w:rsid w:val="00BE1901"/>
    <w:rsid w:val="00BE19BD"/>
    <w:rsid w:val="00BE215E"/>
    <w:rsid w:val="00BE22C2"/>
    <w:rsid w:val="00BE2C27"/>
    <w:rsid w:val="00BE3024"/>
    <w:rsid w:val="00BE339C"/>
    <w:rsid w:val="00BE34B4"/>
    <w:rsid w:val="00BE3B63"/>
    <w:rsid w:val="00BE40BB"/>
    <w:rsid w:val="00BE434B"/>
    <w:rsid w:val="00BE43E2"/>
    <w:rsid w:val="00BE4665"/>
    <w:rsid w:val="00BE5864"/>
    <w:rsid w:val="00BE5884"/>
    <w:rsid w:val="00BE5D11"/>
    <w:rsid w:val="00BE5F67"/>
    <w:rsid w:val="00BE6B2F"/>
    <w:rsid w:val="00BE7060"/>
    <w:rsid w:val="00BE77BD"/>
    <w:rsid w:val="00BE799E"/>
    <w:rsid w:val="00BE7AA5"/>
    <w:rsid w:val="00BE7AEE"/>
    <w:rsid w:val="00BE7E6B"/>
    <w:rsid w:val="00BE7F20"/>
    <w:rsid w:val="00BF0098"/>
    <w:rsid w:val="00BF0D3D"/>
    <w:rsid w:val="00BF1509"/>
    <w:rsid w:val="00BF19ED"/>
    <w:rsid w:val="00BF1AF8"/>
    <w:rsid w:val="00BF1CA1"/>
    <w:rsid w:val="00BF222D"/>
    <w:rsid w:val="00BF2412"/>
    <w:rsid w:val="00BF28EC"/>
    <w:rsid w:val="00BF2C7E"/>
    <w:rsid w:val="00BF34D1"/>
    <w:rsid w:val="00BF35B5"/>
    <w:rsid w:val="00BF3D13"/>
    <w:rsid w:val="00BF3E7C"/>
    <w:rsid w:val="00BF3F76"/>
    <w:rsid w:val="00BF4016"/>
    <w:rsid w:val="00BF4058"/>
    <w:rsid w:val="00BF47AF"/>
    <w:rsid w:val="00BF4F9B"/>
    <w:rsid w:val="00BF5A61"/>
    <w:rsid w:val="00BF5C1E"/>
    <w:rsid w:val="00BF6193"/>
    <w:rsid w:val="00BF61F9"/>
    <w:rsid w:val="00BF6D98"/>
    <w:rsid w:val="00BF6F7D"/>
    <w:rsid w:val="00BF70A3"/>
    <w:rsid w:val="00BF714C"/>
    <w:rsid w:val="00BF760A"/>
    <w:rsid w:val="00BF7AC0"/>
    <w:rsid w:val="00BF7C3E"/>
    <w:rsid w:val="00C007CB"/>
    <w:rsid w:val="00C0118B"/>
    <w:rsid w:val="00C011E5"/>
    <w:rsid w:val="00C0166D"/>
    <w:rsid w:val="00C018A0"/>
    <w:rsid w:val="00C01AA8"/>
    <w:rsid w:val="00C02391"/>
    <w:rsid w:val="00C02410"/>
    <w:rsid w:val="00C02BD3"/>
    <w:rsid w:val="00C02D8D"/>
    <w:rsid w:val="00C03262"/>
    <w:rsid w:val="00C0346F"/>
    <w:rsid w:val="00C03BBA"/>
    <w:rsid w:val="00C040A4"/>
    <w:rsid w:val="00C04A45"/>
    <w:rsid w:val="00C04B97"/>
    <w:rsid w:val="00C04C4C"/>
    <w:rsid w:val="00C04F30"/>
    <w:rsid w:val="00C04F99"/>
    <w:rsid w:val="00C05891"/>
    <w:rsid w:val="00C060C6"/>
    <w:rsid w:val="00C06BB8"/>
    <w:rsid w:val="00C07214"/>
    <w:rsid w:val="00C07AED"/>
    <w:rsid w:val="00C07E1D"/>
    <w:rsid w:val="00C101E5"/>
    <w:rsid w:val="00C10376"/>
    <w:rsid w:val="00C1058D"/>
    <w:rsid w:val="00C106A5"/>
    <w:rsid w:val="00C10A59"/>
    <w:rsid w:val="00C10BB0"/>
    <w:rsid w:val="00C110D5"/>
    <w:rsid w:val="00C112D1"/>
    <w:rsid w:val="00C11307"/>
    <w:rsid w:val="00C11345"/>
    <w:rsid w:val="00C11B3D"/>
    <w:rsid w:val="00C120C8"/>
    <w:rsid w:val="00C12623"/>
    <w:rsid w:val="00C12A5E"/>
    <w:rsid w:val="00C1305C"/>
    <w:rsid w:val="00C13594"/>
    <w:rsid w:val="00C1361E"/>
    <w:rsid w:val="00C1370A"/>
    <w:rsid w:val="00C137B3"/>
    <w:rsid w:val="00C1380D"/>
    <w:rsid w:val="00C143B5"/>
    <w:rsid w:val="00C14688"/>
    <w:rsid w:val="00C1591F"/>
    <w:rsid w:val="00C161F2"/>
    <w:rsid w:val="00C16605"/>
    <w:rsid w:val="00C16607"/>
    <w:rsid w:val="00C166D9"/>
    <w:rsid w:val="00C16A1A"/>
    <w:rsid w:val="00C17198"/>
    <w:rsid w:val="00C17212"/>
    <w:rsid w:val="00C175A0"/>
    <w:rsid w:val="00C1781E"/>
    <w:rsid w:val="00C17952"/>
    <w:rsid w:val="00C17B2A"/>
    <w:rsid w:val="00C17C32"/>
    <w:rsid w:val="00C17DF5"/>
    <w:rsid w:val="00C2023E"/>
    <w:rsid w:val="00C20878"/>
    <w:rsid w:val="00C20C6D"/>
    <w:rsid w:val="00C212FE"/>
    <w:rsid w:val="00C219C5"/>
    <w:rsid w:val="00C21C48"/>
    <w:rsid w:val="00C21D25"/>
    <w:rsid w:val="00C22AA8"/>
    <w:rsid w:val="00C23061"/>
    <w:rsid w:val="00C23396"/>
    <w:rsid w:val="00C23CE1"/>
    <w:rsid w:val="00C248AB"/>
    <w:rsid w:val="00C2496A"/>
    <w:rsid w:val="00C24E72"/>
    <w:rsid w:val="00C24F2D"/>
    <w:rsid w:val="00C252AC"/>
    <w:rsid w:val="00C255B6"/>
    <w:rsid w:val="00C25937"/>
    <w:rsid w:val="00C26460"/>
    <w:rsid w:val="00C2679F"/>
    <w:rsid w:val="00C26C29"/>
    <w:rsid w:val="00C270E4"/>
    <w:rsid w:val="00C2734A"/>
    <w:rsid w:val="00C27B5A"/>
    <w:rsid w:val="00C27F11"/>
    <w:rsid w:val="00C30280"/>
    <w:rsid w:val="00C30317"/>
    <w:rsid w:val="00C303AF"/>
    <w:rsid w:val="00C305E5"/>
    <w:rsid w:val="00C3096E"/>
    <w:rsid w:val="00C310B8"/>
    <w:rsid w:val="00C3123E"/>
    <w:rsid w:val="00C316A6"/>
    <w:rsid w:val="00C3194C"/>
    <w:rsid w:val="00C31BCF"/>
    <w:rsid w:val="00C3201C"/>
    <w:rsid w:val="00C32802"/>
    <w:rsid w:val="00C32D37"/>
    <w:rsid w:val="00C32D7B"/>
    <w:rsid w:val="00C33814"/>
    <w:rsid w:val="00C352E2"/>
    <w:rsid w:val="00C356DF"/>
    <w:rsid w:val="00C35A7A"/>
    <w:rsid w:val="00C3608C"/>
    <w:rsid w:val="00C36282"/>
    <w:rsid w:val="00C36420"/>
    <w:rsid w:val="00C365AF"/>
    <w:rsid w:val="00C36837"/>
    <w:rsid w:val="00C36EBA"/>
    <w:rsid w:val="00C3767B"/>
    <w:rsid w:val="00C37BAC"/>
    <w:rsid w:val="00C4013E"/>
    <w:rsid w:val="00C4039B"/>
    <w:rsid w:val="00C40952"/>
    <w:rsid w:val="00C41072"/>
    <w:rsid w:val="00C415B7"/>
    <w:rsid w:val="00C42561"/>
    <w:rsid w:val="00C4278D"/>
    <w:rsid w:val="00C4339F"/>
    <w:rsid w:val="00C438D0"/>
    <w:rsid w:val="00C43943"/>
    <w:rsid w:val="00C43E6F"/>
    <w:rsid w:val="00C444F9"/>
    <w:rsid w:val="00C44AF2"/>
    <w:rsid w:val="00C44D4F"/>
    <w:rsid w:val="00C45025"/>
    <w:rsid w:val="00C45075"/>
    <w:rsid w:val="00C45194"/>
    <w:rsid w:val="00C45534"/>
    <w:rsid w:val="00C4576C"/>
    <w:rsid w:val="00C457EA"/>
    <w:rsid w:val="00C45A16"/>
    <w:rsid w:val="00C45E4A"/>
    <w:rsid w:val="00C464EE"/>
    <w:rsid w:val="00C467AB"/>
    <w:rsid w:val="00C475AE"/>
    <w:rsid w:val="00C47827"/>
    <w:rsid w:val="00C47AC3"/>
    <w:rsid w:val="00C51013"/>
    <w:rsid w:val="00C510F7"/>
    <w:rsid w:val="00C51140"/>
    <w:rsid w:val="00C5181C"/>
    <w:rsid w:val="00C51999"/>
    <w:rsid w:val="00C51BE1"/>
    <w:rsid w:val="00C521F1"/>
    <w:rsid w:val="00C5296A"/>
    <w:rsid w:val="00C52DE8"/>
    <w:rsid w:val="00C53828"/>
    <w:rsid w:val="00C53B9F"/>
    <w:rsid w:val="00C53C80"/>
    <w:rsid w:val="00C54415"/>
    <w:rsid w:val="00C548C1"/>
    <w:rsid w:val="00C550E4"/>
    <w:rsid w:val="00C55112"/>
    <w:rsid w:val="00C552C8"/>
    <w:rsid w:val="00C5554B"/>
    <w:rsid w:val="00C55668"/>
    <w:rsid w:val="00C559D0"/>
    <w:rsid w:val="00C55CF0"/>
    <w:rsid w:val="00C5615B"/>
    <w:rsid w:val="00C561B3"/>
    <w:rsid w:val="00C5633F"/>
    <w:rsid w:val="00C56E4F"/>
    <w:rsid w:val="00C57103"/>
    <w:rsid w:val="00C571CA"/>
    <w:rsid w:val="00C5723F"/>
    <w:rsid w:val="00C574B9"/>
    <w:rsid w:val="00C577CE"/>
    <w:rsid w:val="00C57C7D"/>
    <w:rsid w:val="00C57CEF"/>
    <w:rsid w:val="00C612AB"/>
    <w:rsid w:val="00C61CB6"/>
    <w:rsid w:val="00C61E41"/>
    <w:rsid w:val="00C61E90"/>
    <w:rsid w:val="00C61EB7"/>
    <w:rsid w:val="00C61F4E"/>
    <w:rsid w:val="00C61FC7"/>
    <w:rsid w:val="00C624AB"/>
    <w:rsid w:val="00C6256C"/>
    <w:rsid w:val="00C62B32"/>
    <w:rsid w:val="00C62C02"/>
    <w:rsid w:val="00C62EEF"/>
    <w:rsid w:val="00C62EF2"/>
    <w:rsid w:val="00C633BD"/>
    <w:rsid w:val="00C63ED7"/>
    <w:rsid w:val="00C63F5A"/>
    <w:rsid w:val="00C6482D"/>
    <w:rsid w:val="00C64D42"/>
    <w:rsid w:val="00C65582"/>
    <w:rsid w:val="00C6560E"/>
    <w:rsid w:val="00C65A11"/>
    <w:rsid w:val="00C65BF1"/>
    <w:rsid w:val="00C65E91"/>
    <w:rsid w:val="00C6669E"/>
    <w:rsid w:val="00C66D7D"/>
    <w:rsid w:val="00C67023"/>
    <w:rsid w:val="00C6753C"/>
    <w:rsid w:val="00C67A00"/>
    <w:rsid w:val="00C67B73"/>
    <w:rsid w:val="00C700BD"/>
    <w:rsid w:val="00C70659"/>
    <w:rsid w:val="00C70B3B"/>
    <w:rsid w:val="00C70F8D"/>
    <w:rsid w:val="00C71446"/>
    <w:rsid w:val="00C7189F"/>
    <w:rsid w:val="00C71E35"/>
    <w:rsid w:val="00C72550"/>
    <w:rsid w:val="00C72B77"/>
    <w:rsid w:val="00C72BB7"/>
    <w:rsid w:val="00C74998"/>
    <w:rsid w:val="00C74C26"/>
    <w:rsid w:val="00C74C83"/>
    <w:rsid w:val="00C74CC2"/>
    <w:rsid w:val="00C74E56"/>
    <w:rsid w:val="00C74EA9"/>
    <w:rsid w:val="00C74F37"/>
    <w:rsid w:val="00C75434"/>
    <w:rsid w:val="00C7574F"/>
    <w:rsid w:val="00C75B74"/>
    <w:rsid w:val="00C75DC8"/>
    <w:rsid w:val="00C76140"/>
    <w:rsid w:val="00C7666A"/>
    <w:rsid w:val="00C76959"/>
    <w:rsid w:val="00C76CDB"/>
    <w:rsid w:val="00C76D6A"/>
    <w:rsid w:val="00C76E1A"/>
    <w:rsid w:val="00C776D9"/>
    <w:rsid w:val="00C7792F"/>
    <w:rsid w:val="00C804AC"/>
    <w:rsid w:val="00C80617"/>
    <w:rsid w:val="00C80861"/>
    <w:rsid w:val="00C809E4"/>
    <w:rsid w:val="00C80C91"/>
    <w:rsid w:val="00C81028"/>
    <w:rsid w:val="00C812CD"/>
    <w:rsid w:val="00C81B76"/>
    <w:rsid w:val="00C82246"/>
    <w:rsid w:val="00C823D7"/>
    <w:rsid w:val="00C82A6A"/>
    <w:rsid w:val="00C82EAA"/>
    <w:rsid w:val="00C83AE3"/>
    <w:rsid w:val="00C83E4F"/>
    <w:rsid w:val="00C84261"/>
    <w:rsid w:val="00C84896"/>
    <w:rsid w:val="00C848EA"/>
    <w:rsid w:val="00C849FF"/>
    <w:rsid w:val="00C852BA"/>
    <w:rsid w:val="00C85B81"/>
    <w:rsid w:val="00C85F42"/>
    <w:rsid w:val="00C86344"/>
    <w:rsid w:val="00C86414"/>
    <w:rsid w:val="00C864F1"/>
    <w:rsid w:val="00C86596"/>
    <w:rsid w:val="00C869F9"/>
    <w:rsid w:val="00C86A48"/>
    <w:rsid w:val="00C8778E"/>
    <w:rsid w:val="00C879B7"/>
    <w:rsid w:val="00C87D3C"/>
    <w:rsid w:val="00C87EA9"/>
    <w:rsid w:val="00C90A42"/>
    <w:rsid w:val="00C916CE"/>
    <w:rsid w:val="00C917FC"/>
    <w:rsid w:val="00C91CA7"/>
    <w:rsid w:val="00C92172"/>
    <w:rsid w:val="00C92768"/>
    <w:rsid w:val="00C929FD"/>
    <w:rsid w:val="00C932ED"/>
    <w:rsid w:val="00C93558"/>
    <w:rsid w:val="00C93B8A"/>
    <w:rsid w:val="00C93C67"/>
    <w:rsid w:val="00C93E0A"/>
    <w:rsid w:val="00C94205"/>
    <w:rsid w:val="00C943E9"/>
    <w:rsid w:val="00C94A2D"/>
    <w:rsid w:val="00C951C8"/>
    <w:rsid w:val="00C9530A"/>
    <w:rsid w:val="00C95792"/>
    <w:rsid w:val="00C95A9B"/>
    <w:rsid w:val="00C95C83"/>
    <w:rsid w:val="00C95CFA"/>
    <w:rsid w:val="00C965C9"/>
    <w:rsid w:val="00C96D18"/>
    <w:rsid w:val="00C96ECD"/>
    <w:rsid w:val="00C96FDF"/>
    <w:rsid w:val="00C979F2"/>
    <w:rsid w:val="00C97B9B"/>
    <w:rsid w:val="00CA0046"/>
    <w:rsid w:val="00CA01D7"/>
    <w:rsid w:val="00CA0CBD"/>
    <w:rsid w:val="00CA0D6A"/>
    <w:rsid w:val="00CA1CC6"/>
    <w:rsid w:val="00CA21B7"/>
    <w:rsid w:val="00CA21D7"/>
    <w:rsid w:val="00CA2695"/>
    <w:rsid w:val="00CA2A26"/>
    <w:rsid w:val="00CA2D12"/>
    <w:rsid w:val="00CA2F37"/>
    <w:rsid w:val="00CA2F57"/>
    <w:rsid w:val="00CA2F9C"/>
    <w:rsid w:val="00CA2FDA"/>
    <w:rsid w:val="00CA3057"/>
    <w:rsid w:val="00CA30F4"/>
    <w:rsid w:val="00CA39C8"/>
    <w:rsid w:val="00CA3EA8"/>
    <w:rsid w:val="00CA4102"/>
    <w:rsid w:val="00CA4164"/>
    <w:rsid w:val="00CA49B6"/>
    <w:rsid w:val="00CA4BA1"/>
    <w:rsid w:val="00CA4DB3"/>
    <w:rsid w:val="00CA4E15"/>
    <w:rsid w:val="00CA5059"/>
    <w:rsid w:val="00CA5548"/>
    <w:rsid w:val="00CA55CC"/>
    <w:rsid w:val="00CA5736"/>
    <w:rsid w:val="00CA57E9"/>
    <w:rsid w:val="00CA5BD9"/>
    <w:rsid w:val="00CA5F5F"/>
    <w:rsid w:val="00CA65C4"/>
    <w:rsid w:val="00CA6966"/>
    <w:rsid w:val="00CA6C68"/>
    <w:rsid w:val="00CA7532"/>
    <w:rsid w:val="00CA75C9"/>
    <w:rsid w:val="00CA7A58"/>
    <w:rsid w:val="00CA7A90"/>
    <w:rsid w:val="00CB00F0"/>
    <w:rsid w:val="00CB01CA"/>
    <w:rsid w:val="00CB03DE"/>
    <w:rsid w:val="00CB07BF"/>
    <w:rsid w:val="00CB0850"/>
    <w:rsid w:val="00CB0BFF"/>
    <w:rsid w:val="00CB0F80"/>
    <w:rsid w:val="00CB1112"/>
    <w:rsid w:val="00CB1CA6"/>
    <w:rsid w:val="00CB1CE4"/>
    <w:rsid w:val="00CB1D59"/>
    <w:rsid w:val="00CB22B7"/>
    <w:rsid w:val="00CB251B"/>
    <w:rsid w:val="00CB27CA"/>
    <w:rsid w:val="00CB2969"/>
    <w:rsid w:val="00CB315D"/>
    <w:rsid w:val="00CB3C3F"/>
    <w:rsid w:val="00CB3DB6"/>
    <w:rsid w:val="00CB4326"/>
    <w:rsid w:val="00CB4987"/>
    <w:rsid w:val="00CB5BF6"/>
    <w:rsid w:val="00CB5C88"/>
    <w:rsid w:val="00CB6A4D"/>
    <w:rsid w:val="00CB6F99"/>
    <w:rsid w:val="00CB7133"/>
    <w:rsid w:val="00CB7DAE"/>
    <w:rsid w:val="00CB7EE0"/>
    <w:rsid w:val="00CB7F0D"/>
    <w:rsid w:val="00CC00D9"/>
    <w:rsid w:val="00CC0260"/>
    <w:rsid w:val="00CC04A9"/>
    <w:rsid w:val="00CC056E"/>
    <w:rsid w:val="00CC06E8"/>
    <w:rsid w:val="00CC07A6"/>
    <w:rsid w:val="00CC127E"/>
    <w:rsid w:val="00CC16EB"/>
    <w:rsid w:val="00CC178E"/>
    <w:rsid w:val="00CC1F1C"/>
    <w:rsid w:val="00CC2079"/>
    <w:rsid w:val="00CC207D"/>
    <w:rsid w:val="00CC20A6"/>
    <w:rsid w:val="00CC2CC7"/>
    <w:rsid w:val="00CC3E80"/>
    <w:rsid w:val="00CC41C6"/>
    <w:rsid w:val="00CC4BBF"/>
    <w:rsid w:val="00CC501C"/>
    <w:rsid w:val="00CC56F6"/>
    <w:rsid w:val="00CC5A48"/>
    <w:rsid w:val="00CC5C16"/>
    <w:rsid w:val="00CC5ECC"/>
    <w:rsid w:val="00CC67D1"/>
    <w:rsid w:val="00CC6B30"/>
    <w:rsid w:val="00CC6E2F"/>
    <w:rsid w:val="00CC723E"/>
    <w:rsid w:val="00CC7B98"/>
    <w:rsid w:val="00CC7CAF"/>
    <w:rsid w:val="00CD0097"/>
    <w:rsid w:val="00CD0783"/>
    <w:rsid w:val="00CD07B1"/>
    <w:rsid w:val="00CD124C"/>
    <w:rsid w:val="00CD1318"/>
    <w:rsid w:val="00CD216C"/>
    <w:rsid w:val="00CD2BB6"/>
    <w:rsid w:val="00CD2FEE"/>
    <w:rsid w:val="00CD34DF"/>
    <w:rsid w:val="00CD3A7D"/>
    <w:rsid w:val="00CD3F23"/>
    <w:rsid w:val="00CD443C"/>
    <w:rsid w:val="00CD45A3"/>
    <w:rsid w:val="00CD4865"/>
    <w:rsid w:val="00CD48D8"/>
    <w:rsid w:val="00CD4931"/>
    <w:rsid w:val="00CD4FEB"/>
    <w:rsid w:val="00CD54A3"/>
    <w:rsid w:val="00CD54F7"/>
    <w:rsid w:val="00CD5668"/>
    <w:rsid w:val="00CD5875"/>
    <w:rsid w:val="00CD5A95"/>
    <w:rsid w:val="00CD5FFC"/>
    <w:rsid w:val="00CD60EE"/>
    <w:rsid w:val="00CD624F"/>
    <w:rsid w:val="00CD69F9"/>
    <w:rsid w:val="00CD73B6"/>
    <w:rsid w:val="00CD797F"/>
    <w:rsid w:val="00CD7DAD"/>
    <w:rsid w:val="00CD7EB8"/>
    <w:rsid w:val="00CE0607"/>
    <w:rsid w:val="00CE0941"/>
    <w:rsid w:val="00CE0BD7"/>
    <w:rsid w:val="00CE0C68"/>
    <w:rsid w:val="00CE0F97"/>
    <w:rsid w:val="00CE124F"/>
    <w:rsid w:val="00CE1589"/>
    <w:rsid w:val="00CE16CA"/>
    <w:rsid w:val="00CE1C15"/>
    <w:rsid w:val="00CE1E4C"/>
    <w:rsid w:val="00CE1FD9"/>
    <w:rsid w:val="00CE20DF"/>
    <w:rsid w:val="00CE21E2"/>
    <w:rsid w:val="00CE2838"/>
    <w:rsid w:val="00CE38B1"/>
    <w:rsid w:val="00CE3B85"/>
    <w:rsid w:val="00CE3C13"/>
    <w:rsid w:val="00CE42E4"/>
    <w:rsid w:val="00CE46BF"/>
    <w:rsid w:val="00CE47D1"/>
    <w:rsid w:val="00CE52A3"/>
    <w:rsid w:val="00CE5835"/>
    <w:rsid w:val="00CE6050"/>
    <w:rsid w:val="00CE662D"/>
    <w:rsid w:val="00CE6D6B"/>
    <w:rsid w:val="00CE7312"/>
    <w:rsid w:val="00CE7EE0"/>
    <w:rsid w:val="00CE7FF6"/>
    <w:rsid w:val="00CF0718"/>
    <w:rsid w:val="00CF0AFE"/>
    <w:rsid w:val="00CF1B14"/>
    <w:rsid w:val="00CF1B97"/>
    <w:rsid w:val="00CF1C15"/>
    <w:rsid w:val="00CF1EB9"/>
    <w:rsid w:val="00CF23EE"/>
    <w:rsid w:val="00CF2A0C"/>
    <w:rsid w:val="00CF2A69"/>
    <w:rsid w:val="00CF3311"/>
    <w:rsid w:val="00CF38FC"/>
    <w:rsid w:val="00CF39D2"/>
    <w:rsid w:val="00CF3AD3"/>
    <w:rsid w:val="00CF3F4B"/>
    <w:rsid w:val="00CF4040"/>
    <w:rsid w:val="00CF4311"/>
    <w:rsid w:val="00CF43DF"/>
    <w:rsid w:val="00CF44D5"/>
    <w:rsid w:val="00CF4C1D"/>
    <w:rsid w:val="00CF5A8C"/>
    <w:rsid w:val="00CF6730"/>
    <w:rsid w:val="00CF6834"/>
    <w:rsid w:val="00CF68ED"/>
    <w:rsid w:val="00CF6A5F"/>
    <w:rsid w:val="00CF70C2"/>
    <w:rsid w:val="00CF71E7"/>
    <w:rsid w:val="00CF7481"/>
    <w:rsid w:val="00CF7B01"/>
    <w:rsid w:val="00CF7C62"/>
    <w:rsid w:val="00D0018F"/>
    <w:rsid w:val="00D00792"/>
    <w:rsid w:val="00D00D29"/>
    <w:rsid w:val="00D00E76"/>
    <w:rsid w:val="00D0101F"/>
    <w:rsid w:val="00D01433"/>
    <w:rsid w:val="00D01604"/>
    <w:rsid w:val="00D01A40"/>
    <w:rsid w:val="00D01AD4"/>
    <w:rsid w:val="00D01D95"/>
    <w:rsid w:val="00D02206"/>
    <w:rsid w:val="00D0248F"/>
    <w:rsid w:val="00D026D6"/>
    <w:rsid w:val="00D02B0E"/>
    <w:rsid w:val="00D02EA0"/>
    <w:rsid w:val="00D03109"/>
    <w:rsid w:val="00D03773"/>
    <w:rsid w:val="00D039E9"/>
    <w:rsid w:val="00D03B0C"/>
    <w:rsid w:val="00D03FB6"/>
    <w:rsid w:val="00D04428"/>
    <w:rsid w:val="00D048D0"/>
    <w:rsid w:val="00D048FB"/>
    <w:rsid w:val="00D04B28"/>
    <w:rsid w:val="00D04B78"/>
    <w:rsid w:val="00D05A75"/>
    <w:rsid w:val="00D05FEE"/>
    <w:rsid w:val="00D062EE"/>
    <w:rsid w:val="00D0664E"/>
    <w:rsid w:val="00D078C4"/>
    <w:rsid w:val="00D07971"/>
    <w:rsid w:val="00D10022"/>
    <w:rsid w:val="00D100B0"/>
    <w:rsid w:val="00D1024B"/>
    <w:rsid w:val="00D10407"/>
    <w:rsid w:val="00D105E4"/>
    <w:rsid w:val="00D106D0"/>
    <w:rsid w:val="00D1110A"/>
    <w:rsid w:val="00D112F2"/>
    <w:rsid w:val="00D1140A"/>
    <w:rsid w:val="00D1141D"/>
    <w:rsid w:val="00D11508"/>
    <w:rsid w:val="00D117D4"/>
    <w:rsid w:val="00D121D6"/>
    <w:rsid w:val="00D12571"/>
    <w:rsid w:val="00D12B77"/>
    <w:rsid w:val="00D12E4F"/>
    <w:rsid w:val="00D13648"/>
    <w:rsid w:val="00D13C19"/>
    <w:rsid w:val="00D13D4D"/>
    <w:rsid w:val="00D1408D"/>
    <w:rsid w:val="00D15942"/>
    <w:rsid w:val="00D15BA7"/>
    <w:rsid w:val="00D15E49"/>
    <w:rsid w:val="00D15F37"/>
    <w:rsid w:val="00D1638A"/>
    <w:rsid w:val="00D16DA1"/>
    <w:rsid w:val="00D16F1E"/>
    <w:rsid w:val="00D16F29"/>
    <w:rsid w:val="00D17947"/>
    <w:rsid w:val="00D17C10"/>
    <w:rsid w:val="00D20BFC"/>
    <w:rsid w:val="00D20CD1"/>
    <w:rsid w:val="00D20DF7"/>
    <w:rsid w:val="00D20E49"/>
    <w:rsid w:val="00D2102A"/>
    <w:rsid w:val="00D210EE"/>
    <w:rsid w:val="00D21677"/>
    <w:rsid w:val="00D2172E"/>
    <w:rsid w:val="00D2195C"/>
    <w:rsid w:val="00D21A4A"/>
    <w:rsid w:val="00D21DE7"/>
    <w:rsid w:val="00D223B1"/>
    <w:rsid w:val="00D22470"/>
    <w:rsid w:val="00D228FF"/>
    <w:rsid w:val="00D22BB7"/>
    <w:rsid w:val="00D2349A"/>
    <w:rsid w:val="00D235D2"/>
    <w:rsid w:val="00D23838"/>
    <w:rsid w:val="00D2385A"/>
    <w:rsid w:val="00D24C62"/>
    <w:rsid w:val="00D25173"/>
    <w:rsid w:val="00D25556"/>
    <w:rsid w:val="00D25710"/>
    <w:rsid w:val="00D2580D"/>
    <w:rsid w:val="00D25B99"/>
    <w:rsid w:val="00D25CC7"/>
    <w:rsid w:val="00D2606F"/>
    <w:rsid w:val="00D264F4"/>
    <w:rsid w:val="00D26563"/>
    <w:rsid w:val="00D26DE9"/>
    <w:rsid w:val="00D270D3"/>
    <w:rsid w:val="00D2746E"/>
    <w:rsid w:val="00D278BC"/>
    <w:rsid w:val="00D27904"/>
    <w:rsid w:val="00D301B9"/>
    <w:rsid w:val="00D30AB0"/>
    <w:rsid w:val="00D316A8"/>
    <w:rsid w:val="00D31A98"/>
    <w:rsid w:val="00D32155"/>
    <w:rsid w:val="00D3259A"/>
    <w:rsid w:val="00D325E0"/>
    <w:rsid w:val="00D32847"/>
    <w:rsid w:val="00D32992"/>
    <w:rsid w:val="00D32FAA"/>
    <w:rsid w:val="00D3320C"/>
    <w:rsid w:val="00D332CA"/>
    <w:rsid w:val="00D340EF"/>
    <w:rsid w:val="00D341F4"/>
    <w:rsid w:val="00D343EC"/>
    <w:rsid w:val="00D34584"/>
    <w:rsid w:val="00D34DEA"/>
    <w:rsid w:val="00D3504A"/>
    <w:rsid w:val="00D35A89"/>
    <w:rsid w:val="00D35C92"/>
    <w:rsid w:val="00D35D42"/>
    <w:rsid w:val="00D3659C"/>
    <w:rsid w:val="00D36A66"/>
    <w:rsid w:val="00D36BAE"/>
    <w:rsid w:val="00D37821"/>
    <w:rsid w:val="00D40224"/>
    <w:rsid w:val="00D40708"/>
    <w:rsid w:val="00D40DEA"/>
    <w:rsid w:val="00D40F02"/>
    <w:rsid w:val="00D4113C"/>
    <w:rsid w:val="00D423DC"/>
    <w:rsid w:val="00D429E2"/>
    <w:rsid w:val="00D42A1E"/>
    <w:rsid w:val="00D42F82"/>
    <w:rsid w:val="00D434EA"/>
    <w:rsid w:val="00D4364F"/>
    <w:rsid w:val="00D43A95"/>
    <w:rsid w:val="00D441CD"/>
    <w:rsid w:val="00D442A8"/>
    <w:rsid w:val="00D449B1"/>
    <w:rsid w:val="00D44B03"/>
    <w:rsid w:val="00D4514F"/>
    <w:rsid w:val="00D454D5"/>
    <w:rsid w:val="00D45521"/>
    <w:rsid w:val="00D456DF"/>
    <w:rsid w:val="00D45D6E"/>
    <w:rsid w:val="00D4652C"/>
    <w:rsid w:val="00D465BB"/>
    <w:rsid w:val="00D46AAC"/>
    <w:rsid w:val="00D46CE2"/>
    <w:rsid w:val="00D46DD8"/>
    <w:rsid w:val="00D46DE7"/>
    <w:rsid w:val="00D46E17"/>
    <w:rsid w:val="00D46ED9"/>
    <w:rsid w:val="00D47035"/>
    <w:rsid w:val="00D471A5"/>
    <w:rsid w:val="00D47207"/>
    <w:rsid w:val="00D47FCC"/>
    <w:rsid w:val="00D47FD1"/>
    <w:rsid w:val="00D50159"/>
    <w:rsid w:val="00D50C8A"/>
    <w:rsid w:val="00D50EF7"/>
    <w:rsid w:val="00D512AF"/>
    <w:rsid w:val="00D5167F"/>
    <w:rsid w:val="00D53990"/>
    <w:rsid w:val="00D54788"/>
    <w:rsid w:val="00D549E2"/>
    <w:rsid w:val="00D54A13"/>
    <w:rsid w:val="00D55617"/>
    <w:rsid w:val="00D55684"/>
    <w:rsid w:val="00D560AF"/>
    <w:rsid w:val="00D563BF"/>
    <w:rsid w:val="00D5674F"/>
    <w:rsid w:val="00D568A5"/>
    <w:rsid w:val="00D56A46"/>
    <w:rsid w:val="00D56AA5"/>
    <w:rsid w:val="00D57529"/>
    <w:rsid w:val="00D57950"/>
    <w:rsid w:val="00D57CB9"/>
    <w:rsid w:val="00D60167"/>
    <w:rsid w:val="00D604CD"/>
    <w:rsid w:val="00D60793"/>
    <w:rsid w:val="00D611A4"/>
    <w:rsid w:val="00D613B3"/>
    <w:rsid w:val="00D61487"/>
    <w:rsid w:val="00D61DFD"/>
    <w:rsid w:val="00D61E75"/>
    <w:rsid w:val="00D620FA"/>
    <w:rsid w:val="00D62152"/>
    <w:rsid w:val="00D622BB"/>
    <w:rsid w:val="00D62EF2"/>
    <w:rsid w:val="00D63B7C"/>
    <w:rsid w:val="00D63DF2"/>
    <w:rsid w:val="00D6443A"/>
    <w:rsid w:val="00D64756"/>
    <w:rsid w:val="00D650CF"/>
    <w:rsid w:val="00D658C3"/>
    <w:rsid w:val="00D65D3A"/>
    <w:rsid w:val="00D65E8A"/>
    <w:rsid w:val="00D66808"/>
    <w:rsid w:val="00D66AF4"/>
    <w:rsid w:val="00D66F7D"/>
    <w:rsid w:val="00D6767A"/>
    <w:rsid w:val="00D67E06"/>
    <w:rsid w:val="00D67E84"/>
    <w:rsid w:val="00D704D0"/>
    <w:rsid w:val="00D705C9"/>
    <w:rsid w:val="00D706F5"/>
    <w:rsid w:val="00D70A5B"/>
    <w:rsid w:val="00D70DE6"/>
    <w:rsid w:val="00D70EAB"/>
    <w:rsid w:val="00D711A5"/>
    <w:rsid w:val="00D71AEE"/>
    <w:rsid w:val="00D725A4"/>
    <w:rsid w:val="00D7265D"/>
    <w:rsid w:val="00D726DF"/>
    <w:rsid w:val="00D72BED"/>
    <w:rsid w:val="00D72BFF"/>
    <w:rsid w:val="00D72DA9"/>
    <w:rsid w:val="00D739B2"/>
    <w:rsid w:val="00D739E8"/>
    <w:rsid w:val="00D73E2F"/>
    <w:rsid w:val="00D74279"/>
    <w:rsid w:val="00D7444C"/>
    <w:rsid w:val="00D7496F"/>
    <w:rsid w:val="00D74D0B"/>
    <w:rsid w:val="00D75055"/>
    <w:rsid w:val="00D75258"/>
    <w:rsid w:val="00D754A8"/>
    <w:rsid w:val="00D755B5"/>
    <w:rsid w:val="00D760B3"/>
    <w:rsid w:val="00D76250"/>
    <w:rsid w:val="00D7638B"/>
    <w:rsid w:val="00D76397"/>
    <w:rsid w:val="00D76894"/>
    <w:rsid w:val="00D76989"/>
    <w:rsid w:val="00D76F98"/>
    <w:rsid w:val="00D7709C"/>
    <w:rsid w:val="00D774DB"/>
    <w:rsid w:val="00D776AA"/>
    <w:rsid w:val="00D77886"/>
    <w:rsid w:val="00D779E8"/>
    <w:rsid w:val="00D77CD2"/>
    <w:rsid w:val="00D77E4B"/>
    <w:rsid w:val="00D8032F"/>
    <w:rsid w:val="00D8073B"/>
    <w:rsid w:val="00D816B1"/>
    <w:rsid w:val="00D82203"/>
    <w:rsid w:val="00D8269B"/>
    <w:rsid w:val="00D82CFC"/>
    <w:rsid w:val="00D82FC7"/>
    <w:rsid w:val="00D8375B"/>
    <w:rsid w:val="00D83CF8"/>
    <w:rsid w:val="00D83D49"/>
    <w:rsid w:val="00D8408F"/>
    <w:rsid w:val="00D8439B"/>
    <w:rsid w:val="00D844FC"/>
    <w:rsid w:val="00D846B6"/>
    <w:rsid w:val="00D84AA1"/>
    <w:rsid w:val="00D84F4F"/>
    <w:rsid w:val="00D86D6A"/>
    <w:rsid w:val="00D8704D"/>
    <w:rsid w:val="00D87411"/>
    <w:rsid w:val="00D87475"/>
    <w:rsid w:val="00D87B56"/>
    <w:rsid w:val="00D9005E"/>
    <w:rsid w:val="00D905FE"/>
    <w:rsid w:val="00D9066F"/>
    <w:rsid w:val="00D90CB5"/>
    <w:rsid w:val="00D91894"/>
    <w:rsid w:val="00D91CCF"/>
    <w:rsid w:val="00D92083"/>
    <w:rsid w:val="00D92223"/>
    <w:rsid w:val="00D9286D"/>
    <w:rsid w:val="00D92C97"/>
    <w:rsid w:val="00D92F0F"/>
    <w:rsid w:val="00D931CB"/>
    <w:rsid w:val="00D93878"/>
    <w:rsid w:val="00D93BBD"/>
    <w:rsid w:val="00D93C2A"/>
    <w:rsid w:val="00D93DFF"/>
    <w:rsid w:val="00D93EB7"/>
    <w:rsid w:val="00D943EA"/>
    <w:rsid w:val="00D949F6"/>
    <w:rsid w:val="00D94AE9"/>
    <w:rsid w:val="00D9537F"/>
    <w:rsid w:val="00D955CA"/>
    <w:rsid w:val="00D95CF8"/>
    <w:rsid w:val="00D96234"/>
    <w:rsid w:val="00D96FB9"/>
    <w:rsid w:val="00D977ED"/>
    <w:rsid w:val="00D97ED4"/>
    <w:rsid w:val="00DA01A5"/>
    <w:rsid w:val="00DA01FD"/>
    <w:rsid w:val="00DA05E3"/>
    <w:rsid w:val="00DA092E"/>
    <w:rsid w:val="00DA0A70"/>
    <w:rsid w:val="00DA0C10"/>
    <w:rsid w:val="00DA0C2C"/>
    <w:rsid w:val="00DA0D56"/>
    <w:rsid w:val="00DA0DEE"/>
    <w:rsid w:val="00DA1627"/>
    <w:rsid w:val="00DA1648"/>
    <w:rsid w:val="00DA18CD"/>
    <w:rsid w:val="00DA1A7E"/>
    <w:rsid w:val="00DA1C5D"/>
    <w:rsid w:val="00DA245E"/>
    <w:rsid w:val="00DA2657"/>
    <w:rsid w:val="00DA2735"/>
    <w:rsid w:val="00DA2E29"/>
    <w:rsid w:val="00DA31F8"/>
    <w:rsid w:val="00DA3751"/>
    <w:rsid w:val="00DA467D"/>
    <w:rsid w:val="00DA46C8"/>
    <w:rsid w:val="00DA4BCF"/>
    <w:rsid w:val="00DA4FE2"/>
    <w:rsid w:val="00DA510A"/>
    <w:rsid w:val="00DA5191"/>
    <w:rsid w:val="00DA520C"/>
    <w:rsid w:val="00DA61BC"/>
    <w:rsid w:val="00DA6B6D"/>
    <w:rsid w:val="00DA6B73"/>
    <w:rsid w:val="00DA6E5C"/>
    <w:rsid w:val="00DA7518"/>
    <w:rsid w:val="00DA7AE2"/>
    <w:rsid w:val="00DB03FA"/>
    <w:rsid w:val="00DB0537"/>
    <w:rsid w:val="00DB07C7"/>
    <w:rsid w:val="00DB1183"/>
    <w:rsid w:val="00DB16DE"/>
    <w:rsid w:val="00DB1735"/>
    <w:rsid w:val="00DB26B6"/>
    <w:rsid w:val="00DB2862"/>
    <w:rsid w:val="00DB39C2"/>
    <w:rsid w:val="00DB39D4"/>
    <w:rsid w:val="00DB39E1"/>
    <w:rsid w:val="00DB3BE5"/>
    <w:rsid w:val="00DB3D0A"/>
    <w:rsid w:val="00DB3FA7"/>
    <w:rsid w:val="00DB49DD"/>
    <w:rsid w:val="00DB4A1F"/>
    <w:rsid w:val="00DB4AD2"/>
    <w:rsid w:val="00DB4CA2"/>
    <w:rsid w:val="00DB558F"/>
    <w:rsid w:val="00DB62E5"/>
    <w:rsid w:val="00DB65A8"/>
    <w:rsid w:val="00DB6C39"/>
    <w:rsid w:val="00DB6CCC"/>
    <w:rsid w:val="00DB6CEA"/>
    <w:rsid w:val="00DB6D53"/>
    <w:rsid w:val="00DB78F2"/>
    <w:rsid w:val="00DB7AC7"/>
    <w:rsid w:val="00DC03CF"/>
    <w:rsid w:val="00DC07BC"/>
    <w:rsid w:val="00DC098D"/>
    <w:rsid w:val="00DC0C88"/>
    <w:rsid w:val="00DC107B"/>
    <w:rsid w:val="00DC18A0"/>
    <w:rsid w:val="00DC1B32"/>
    <w:rsid w:val="00DC2A2B"/>
    <w:rsid w:val="00DC2CC5"/>
    <w:rsid w:val="00DC35B9"/>
    <w:rsid w:val="00DC3A8E"/>
    <w:rsid w:val="00DC42F7"/>
    <w:rsid w:val="00DC4742"/>
    <w:rsid w:val="00DC4AEC"/>
    <w:rsid w:val="00DC4C14"/>
    <w:rsid w:val="00DC545E"/>
    <w:rsid w:val="00DC58EF"/>
    <w:rsid w:val="00DC593E"/>
    <w:rsid w:val="00DC5BE0"/>
    <w:rsid w:val="00DC6583"/>
    <w:rsid w:val="00DC6981"/>
    <w:rsid w:val="00DC6A6D"/>
    <w:rsid w:val="00DC6BE7"/>
    <w:rsid w:val="00DC6CEE"/>
    <w:rsid w:val="00DC7073"/>
    <w:rsid w:val="00DC7B55"/>
    <w:rsid w:val="00DD13E2"/>
    <w:rsid w:val="00DD1553"/>
    <w:rsid w:val="00DD1C25"/>
    <w:rsid w:val="00DD1DFC"/>
    <w:rsid w:val="00DD1F7B"/>
    <w:rsid w:val="00DD2794"/>
    <w:rsid w:val="00DD27FC"/>
    <w:rsid w:val="00DD2A3A"/>
    <w:rsid w:val="00DD2D0C"/>
    <w:rsid w:val="00DD2F2F"/>
    <w:rsid w:val="00DD2F84"/>
    <w:rsid w:val="00DD3245"/>
    <w:rsid w:val="00DD38D2"/>
    <w:rsid w:val="00DD3B1D"/>
    <w:rsid w:val="00DD3B33"/>
    <w:rsid w:val="00DD3BEA"/>
    <w:rsid w:val="00DD4134"/>
    <w:rsid w:val="00DD453C"/>
    <w:rsid w:val="00DD48FD"/>
    <w:rsid w:val="00DD4D55"/>
    <w:rsid w:val="00DD5193"/>
    <w:rsid w:val="00DD52BC"/>
    <w:rsid w:val="00DD5AC4"/>
    <w:rsid w:val="00DD6231"/>
    <w:rsid w:val="00DD6FCA"/>
    <w:rsid w:val="00DD745B"/>
    <w:rsid w:val="00DD798F"/>
    <w:rsid w:val="00DE0A23"/>
    <w:rsid w:val="00DE1188"/>
    <w:rsid w:val="00DE120E"/>
    <w:rsid w:val="00DE1683"/>
    <w:rsid w:val="00DE176E"/>
    <w:rsid w:val="00DE1CAB"/>
    <w:rsid w:val="00DE1D96"/>
    <w:rsid w:val="00DE216E"/>
    <w:rsid w:val="00DE3156"/>
    <w:rsid w:val="00DE34B7"/>
    <w:rsid w:val="00DE38C1"/>
    <w:rsid w:val="00DE3B69"/>
    <w:rsid w:val="00DE3FAF"/>
    <w:rsid w:val="00DE4B98"/>
    <w:rsid w:val="00DE4DD2"/>
    <w:rsid w:val="00DE6384"/>
    <w:rsid w:val="00DE694C"/>
    <w:rsid w:val="00DE6E12"/>
    <w:rsid w:val="00DE6E1A"/>
    <w:rsid w:val="00DE79CA"/>
    <w:rsid w:val="00DF0341"/>
    <w:rsid w:val="00DF0C96"/>
    <w:rsid w:val="00DF115D"/>
    <w:rsid w:val="00DF2481"/>
    <w:rsid w:val="00DF2512"/>
    <w:rsid w:val="00DF2A61"/>
    <w:rsid w:val="00DF31D2"/>
    <w:rsid w:val="00DF3DF7"/>
    <w:rsid w:val="00DF3F54"/>
    <w:rsid w:val="00DF3FFB"/>
    <w:rsid w:val="00DF4FA3"/>
    <w:rsid w:val="00DF5253"/>
    <w:rsid w:val="00DF5402"/>
    <w:rsid w:val="00DF56A2"/>
    <w:rsid w:val="00DF5951"/>
    <w:rsid w:val="00DF61BA"/>
    <w:rsid w:val="00DF656A"/>
    <w:rsid w:val="00DF6BDB"/>
    <w:rsid w:val="00DF7142"/>
    <w:rsid w:val="00DF757B"/>
    <w:rsid w:val="00DF7B87"/>
    <w:rsid w:val="00DF7B95"/>
    <w:rsid w:val="00DF7CCA"/>
    <w:rsid w:val="00DF7EB1"/>
    <w:rsid w:val="00E001DF"/>
    <w:rsid w:val="00E010E2"/>
    <w:rsid w:val="00E01127"/>
    <w:rsid w:val="00E01418"/>
    <w:rsid w:val="00E01659"/>
    <w:rsid w:val="00E01755"/>
    <w:rsid w:val="00E01820"/>
    <w:rsid w:val="00E02100"/>
    <w:rsid w:val="00E02A64"/>
    <w:rsid w:val="00E02AC9"/>
    <w:rsid w:val="00E02E32"/>
    <w:rsid w:val="00E030CE"/>
    <w:rsid w:val="00E03413"/>
    <w:rsid w:val="00E03692"/>
    <w:rsid w:val="00E03740"/>
    <w:rsid w:val="00E03A39"/>
    <w:rsid w:val="00E04147"/>
    <w:rsid w:val="00E0478E"/>
    <w:rsid w:val="00E050B0"/>
    <w:rsid w:val="00E051C5"/>
    <w:rsid w:val="00E054DC"/>
    <w:rsid w:val="00E05626"/>
    <w:rsid w:val="00E064D7"/>
    <w:rsid w:val="00E068C9"/>
    <w:rsid w:val="00E06DB7"/>
    <w:rsid w:val="00E0727F"/>
    <w:rsid w:val="00E0796A"/>
    <w:rsid w:val="00E10D1F"/>
    <w:rsid w:val="00E10E8D"/>
    <w:rsid w:val="00E1108B"/>
    <w:rsid w:val="00E11472"/>
    <w:rsid w:val="00E1150C"/>
    <w:rsid w:val="00E117C6"/>
    <w:rsid w:val="00E120AE"/>
    <w:rsid w:val="00E12926"/>
    <w:rsid w:val="00E12995"/>
    <w:rsid w:val="00E12FF9"/>
    <w:rsid w:val="00E130BC"/>
    <w:rsid w:val="00E131C7"/>
    <w:rsid w:val="00E1352D"/>
    <w:rsid w:val="00E1373B"/>
    <w:rsid w:val="00E13BB0"/>
    <w:rsid w:val="00E14A1B"/>
    <w:rsid w:val="00E14AFC"/>
    <w:rsid w:val="00E14D04"/>
    <w:rsid w:val="00E14D43"/>
    <w:rsid w:val="00E14E93"/>
    <w:rsid w:val="00E14F52"/>
    <w:rsid w:val="00E15228"/>
    <w:rsid w:val="00E1548A"/>
    <w:rsid w:val="00E15F0D"/>
    <w:rsid w:val="00E16136"/>
    <w:rsid w:val="00E164BD"/>
    <w:rsid w:val="00E16A6C"/>
    <w:rsid w:val="00E16B13"/>
    <w:rsid w:val="00E16C61"/>
    <w:rsid w:val="00E16DF7"/>
    <w:rsid w:val="00E16E31"/>
    <w:rsid w:val="00E170E2"/>
    <w:rsid w:val="00E17D0B"/>
    <w:rsid w:val="00E206B6"/>
    <w:rsid w:val="00E20872"/>
    <w:rsid w:val="00E20AD4"/>
    <w:rsid w:val="00E2122C"/>
    <w:rsid w:val="00E215B7"/>
    <w:rsid w:val="00E21D81"/>
    <w:rsid w:val="00E21ECB"/>
    <w:rsid w:val="00E22352"/>
    <w:rsid w:val="00E2266F"/>
    <w:rsid w:val="00E22B5B"/>
    <w:rsid w:val="00E23089"/>
    <w:rsid w:val="00E2333F"/>
    <w:rsid w:val="00E23EFA"/>
    <w:rsid w:val="00E24380"/>
    <w:rsid w:val="00E243CF"/>
    <w:rsid w:val="00E2451A"/>
    <w:rsid w:val="00E2482F"/>
    <w:rsid w:val="00E25A6E"/>
    <w:rsid w:val="00E25FF9"/>
    <w:rsid w:val="00E266B2"/>
    <w:rsid w:val="00E26895"/>
    <w:rsid w:val="00E27297"/>
    <w:rsid w:val="00E27B6C"/>
    <w:rsid w:val="00E27EC4"/>
    <w:rsid w:val="00E30300"/>
    <w:rsid w:val="00E30811"/>
    <w:rsid w:val="00E30B2E"/>
    <w:rsid w:val="00E30BA8"/>
    <w:rsid w:val="00E30FFC"/>
    <w:rsid w:val="00E310AA"/>
    <w:rsid w:val="00E314E8"/>
    <w:rsid w:val="00E31A98"/>
    <w:rsid w:val="00E325EA"/>
    <w:rsid w:val="00E328E1"/>
    <w:rsid w:val="00E32BF3"/>
    <w:rsid w:val="00E32E40"/>
    <w:rsid w:val="00E32FE0"/>
    <w:rsid w:val="00E33109"/>
    <w:rsid w:val="00E339CF"/>
    <w:rsid w:val="00E33BDA"/>
    <w:rsid w:val="00E33D15"/>
    <w:rsid w:val="00E33EF7"/>
    <w:rsid w:val="00E3444D"/>
    <w:rsid w:val="00E347FB"/>
    <w:rsid w:val="00E3540D"/>
    <w:rsid w:val="00E35C5C"/>
    <w:rsid w:val="00E36223"/>
    <w:rsid w:val="00E364CE"/>
    <w:rsid w:val="00E36AE7"/>
    <w:rsid w:val="00E36CA9"/>
    <w:rsid w:val="00E36D21"/>
    <w:rsid w:val="00E36EFD"/>
    <w:rsid w:val="00E370BB"/>
    <w:rsid w:val="00E37244"/>
    <w:rsid w:val="00E37727"/>
    <w:rsid w:val="00E40340"/>
    <w:rsid w:val="00E40890"/>
    <w:rsid w:val="00E40A25"/>
    <w:rsid w:val="00E4117B"/>
    <w:rsid w:val="00E4123E"/>
    <w:rsid w:val="00E42037"/>
    <w:rsid w:val="00E4246F"/>
    <w:rsid w:val="00E424E8"/>
    <w:rsid w:val="00E4280D"/>
    <w:rsid w:val="00E42C2C"/>
    <w:rsid w:val="00E42E89"/>
    <w:rsid w:val="00E4325F"/>
    <w:rsid w:val="00E43401"/>
    <w:rsid w:val="00E43930"/>
    <w:rsid w:val="00E43AF8"/>
    <w:rsid w:val="00E43E01"/>
    <w:rsid w:val="00E43E60"/>
    <w:rsid w:val="00E446AB"/>
    <w:rsid w:val="00E44772"/>
    <w:rsid w:val="00E4503B"/>
    <w:rsid w:val="00E4511B"/>
    <w:rsid w:val="00E45AB7"/>
    <w:rsid w:val="00E45E28"/>
    <w:rsid w:val="00E45E8B"/>
    <w:rsid w:val="00E45F1C"/>
    <w:rsid w:val="00E46034"/>
    <w:rsid w:val="00E467F3"/>
    <w:rsid w:val="00E46B09"/>
    <w:rsid w:val="00E46FE6"/>
    <w:rsid w:val="00E47A16"/>
    <w:rsid w:val="00E47D37"/>
    <w:rsid w:val="00E50325"/>
    <w:rsid w:val="00E50ABF"/>
    <w:rsid w:val="00E50C6B"/>
    <w:rsid w:val="00E50F9A"/>
    <w:rsid w:val="00E50FC7"/>
    <w:rsid w:val="00E51378"/>
    <w:rsid w:val="00E5173A"/>
    <w:rsid w:val="00E51EFD"/>
    <w:rsid w:val="00E52083"/>
    <w:rsid w:val="00E5211D"/>
    <w:rsid w:val="00E521F5"/>
    <w:rsid w:val="00E52423"/>
    <w:rsid w:val="00E5292A"/>
    <w:rsid w:val="00E52AB5"/>
    <w:rsid w:val="00E53D82"/>
    <w:rsid w:val="00E53DBA"/>
    <w:rsid w:val="00E5416A"/>
    <w:rsid w:val="00E5434C"/>
    <w:rsid w:val="00E550F5"/>
    <w:rsid w:val="00E551AD"/>
    <w:rsid w:val="00E557E0"/>
    <w:rsid w:val="00E561C9"/>
    <w:rsid w:val="00E56367"/>
    <w:rsid w:val="00E56429"/>
    <w:rsid w:val="00E5647E"/>
    <w:rsid w:val="00E5709C"/>
    <w:rsid w:val="00E5754D"/>
    <w:rsid w:val="00E5764E"/>
    <w:rsid w:val="00E57E3F"/>
    <w:rsid w:val="00E57F3D"/>
    <w:rsid w:val="00E60B1D"/>
    <w:rsid w:val="00E60DC0"/>
    <w:rsid w:val="00E615A3"/>
    <w:rsid w:val="00E616B1"/>
    <w:rsid w:val="00E618DF"/>
    <w:rsid w:val="00E61D66"/>
    <w:rsid w:val="00E61F2B"/>
    <w:rsid w:val="00E62582"/>
    <w:rsid w:val="00E628A1"/>
    <w:rsid w:val="00E62953"/>
    <w:rsid w:val="00E62CA7"/>
    <w:rsid w:val="00E632ED"/>
    <w:rsid w:val="00E639EA"/>
    <w:rsid w:val="00E64628"/>
    <w:rsid w:val="00E64D67"/>
    <w:rsid w:val="00E65727"/>
    <w:rsid w:val="00E6660E"/>
    <w:rsid w:val="00E66CD8"/>
    <w:rsid w:val="00E66F61"/>
    <w:rsid w:val="00E67469"/>
    <w:rsid w:val="00E67820"/>
    <w:rsid w:val="00E67E1F"/>
    <w:rsid w:val="00E70558"/>
    <w:rsid w:val="00E7085A"/>
    <w:rsid w:val="00E71038"/>
    <w:rsid w:val="00E713AC"/>
    <w:rsid w:val="00E71DBE"/>
    <w:rsid w:val="00E721AD"/>
    <w:rsid w:val="00E727DB"/>
    <w:rsid w:val="00E728A3"/>
    <w:rsid w:val="00E732C5"/>
    <w:rsid w:val="00E73530"/>
    <w:rsid w:val="00E7358D"/>
    <w:rsid w:val="00E743AC"/>
    <w:rsid w:val="00E7498C"/>
    <w:rsid w:val="00E74B9B"/>
    <w:rsid w:val="00E753A8"/>
    <w:rsid w:val="00E758A8"/>
    <w:rsid w:val="00E75FBD"/>
    <w:rsid w:val="00E76230"/>
    <w:rsid w:val="00E763EC"/>
    <w:rsid w:val="00E76AC7"/>
    <w:rsid w:val="00E76CB2"/>
    <w:rsid w:val="00E771DE"/>
    <w:rsid w:val="00E77419"/>
    <w:rsid w:val="00E776A9"/>
    <w:rsid w:val="00E77DCC"/>
    <w:rsid w:val="00E801F2"/>
    <w:rsid w:val="00E80508"/>
    <w:rsid w:val="00E80783"/>
    <w:rsid w:val="00E80E5E"/>
    <w:rsid w:val="00E81443"/>
    <w:rsid w:val="00E814D7"/>
    <w:rsid w:val="00E815C6"/>
    <w:rsid w:val="00E81E6E"/>
    <w:rsid w:val="00E820F0"/>
    <w:rsid w:val="00E826FE"/>
    <w:rsid w:val="00E8372E"/>
    <w:rsid w:val="00E83741"/>
    <w:rsid w:val="00E8386E"/>
    <w:rsid w:val="00E83B6B"/>
    <w:rsid w:val="00E83CB3"/>
    <w:rsid w:val="00E83D15"/>
    <w:rsid w:val="00E841CD"/>
    <w:rsid w:val="00E8429E"/>
    <w:rsid w:val="00E850CC"/>
    <w:rsid w:val="00E8566E"/>
    <w:rsid w:val="00E8584C"/>
    <w:rsid w:val="00E85DB7"/>
    <w:rsid w:val="00E85DC6"/>
    <w:rsid w:val="00E873A1"/>
    <w:rsid w:val="00E874BB"/>
    <w:rsid w:val="00E874EE"/>
    <w:rsid w:val="00E878FB"/>
    <w:rsid w:val="00E87A8D"/>
    <w:rsid w:val="00E87FC0"/>
    <w:rsid w:val="00E901E1"/>
    <w:rsid w:val="00E902B2"/>
    <w:rsid w:val="00E917FB"/>
    <w:rsid w:val="00E9183E"/>
    <w:rsid w:val="00E92083"/>
    <w:rsid w:val="00E92B6A"/>
    <w:rsid w:val="00E92BC2"/>
    <w:rsid w:val="00E92FB9"/>
    <w:rsid w:val="00E93192"/>
    <w:rsid w:val="00E93498"/>
    <w:rsid w:val="00E93530"/>
    <w:rsid w:val="00E9357A"/>
    <w:rsid w:val="00E93BF0"/>
    <w:rsid w:val="00E947CE"/>
    <w:rsid w:val="00E94E37"/>
    <w:rsid w:val="00E9512F"/>
    <w:rsid w:val="00E954F0"/>
    <w:rsid w:val="00E954FF"/>
    <w:rsid w:val="00E95B37"/>
    <w:rsid w:val="00E95B8B"/>
    <w:rsid w:val="00E95BE0"/>
    <w:rsid w:val="00E95CAA"/>
    <w:rsid w:val="00E95F06"/>
    <w:rsid w:val="00E9687F"/>
    <w:rsid w:val="00E969C9"/>
    <w:rsid w:val="00E96BAF"/>
    <w:rsid w:val="00E96C1B"/>
    <w:rsid w:val="00E96D10"/>
    <w:rsid w:val="00E97862"/>
    <w:rsid w:val="00E97FC3"/>
    <w:rsid w:val="00EA00EE"/>
    <w:rsid w:val="00EA04C2"/>
    <w:rsid w:val="00EA0735"/>
    <w:rsid w:val="00EA0A50"/>
    <w:rsid w:val="00EA1011"/>
    <w:rsid w:val="00EA1C12"/>
    <w:rsid w:val="00EA2488"/>
    <w:rsid w:val="00EA2592"/>
    <w:rsid w:val="00EA26D1"/>
    <w:rsid w:val="00EA28C5"/>
    <w:rsid w:val="00EA2B24"/>
    <w:rsid w:val="00EA2EEF"/>
    <w:rsid w:val="00EA35E4"/>
    <w:rsid w:val="00EA397C"/>
    <w:rsid w:val="00EA3CE5"/>
    <w:rsid w:val="00EA437F"/>
    <w:rsid w:val="00EA486C"/>
    <w:rsid w:val="00EA4B44"/>
    <w:rsid w:val="00EA4C66"/>
    <w:rsid w:val="00EA4CB0"/>
    <w:rsid w:val="00EA4D6B"/>
    <w:rsid w:val="00EA4DA9"/>
    <w:rsid w:val="00EA584D"/>
    <w:rsid w:val="00EA5A54"/>
    <w:rsid w:val="00EA5CA3"/>
    <w:rsid w:val="00EA5D8C"/>
    <w:rsid w:val="00EA5F7D"/>
    <w:rsid w:val="00EA611B"/>
    <w:rsid w:val="00EA6586"/>
    <w:rsid w:val="00EA660A"/>
    <w:rsid w:val="00EA72F1"/>
    <w:rsid w:val="00EA7376"/>
    <w:rsid w:val="00EA7818"/>
    <w:rsid w:val="00EB02F4"/>
    <w:rsid w:val="00EB066F"/>
    <w:rsid w:val="00EB07FC"/>
    <w:rsid w:val="00EB153D"/>
    <w:rsid w:val="00EB1AB0"/>
    <w:rsid w:val="00EB1AF4"/>
    <w:rsid w:val="00EB1B4F"/>
    <w:rsid w:val="00EB257E"/>
    <w:rsid w:val="00EB2706"/>
    <w:rsid w:val="00EB2A4B"/>
    <w:rsid w:val="00EB2C48"/>
    <w:rsid w:val="00EB334C"/>
    <w:rsid w:val="00EB34BC"/>
    <w:rsid w:val="00EB354D"/>
    <w:rsid w:val="00EB362C"/>
    <w:rsid w:val="00EB37B8"/>
    <w:rsid w:val="00EB3AAC"/>
    <w:rsid w:val="00EB4970"/>
    <w:rsid w:val="00EB49FB"/>
    <w:rsid w:val="00EB4D3D"/>
    <w:rsid w:val="00EB5253"/>
    <w:rsid w:val="00EB5293"/>
    <w:rsid w:val="00EB58EA"/>
    <w:rsid w:val="00EB5E39"/>
    <w:rsid w:val="00EB601B"/>
    <w:rsid w:val="00EB60CF"/>
    <w:rsid w:val="00EB6492"/>
    <w:rsid w:val="00EB65D5"/>
    <w:rsid w:val="00EB67C7"/>
    <w:rsid w:val="00EB6822"/>
    <w:rsid w:val="00EB69DA"/>
    <w:rsid w:val="00EB6A01"/>
    <w:rsid w:val="00EB76E9"/>
    <w:rsid w:val="00EB7A0B"/>
    <w:rsid w:val="00EB7CDC"/>
    <w:rsid w:val="00EB7F0A"/>
    <w:rsid w:val="00EC0932"/>
    <w:rsid w:val="00EC0C62"/>
    <w:rsid w:val="00EC0D31"/>
    <w:rsid w:val="00EC1554"/>
    <w:rsid w:val="00EC1ACD"/>
    <w:rsid w:val="00EC1BB4"/>
    <w:rsid w:val="00EC1BCF"/>
    <w:rsid w:val="00EC2127"/>
    <w:rsid w:val="00EC21CE"/>
    <w:rsid w:val="00EC22B6"/>
    <w:rsid w:val="00EC2414"/>
    <w:rsid w:val="00EC27E6"/>
    <w:rsid w:val="00EC2A6C"/>
    <w:rsid w:val="00EC2AB0"/>
    <w:rsid w:val="00EC3EF6"/>
    <w:rsid w:val="00EC44ED"/>
    <w:rsid w:val="00EC480A"/>
    <w:rsid w:val="00EC49C4"/>
    <w:rsid w:val="00EC57E3"/>
    <w:rsid w:val="00EC5CEE"/>
    <w:rsid w:val="00EC6386"/>
    <w:rsid w:val="00EC67AB"/>
    <w:rsid w:val="00EC6827"/>
    <w:rsid w:val="00EC6B44"/>
    <w:rsid w:val="00EC74E5"/>
    <w:rsid w:val="00EC7623"/>
    <w:rsid w:val="00EC7C19"/>
    <w:rsid w:val="00EC7CA9"/>
    <w:rsid w:val="00ED030E"/>
    <w:rsid w:val="00ED04D0"/>
    <w:rsid w:val="00ED086D"/>
    <w:rsid w:val="00ED0964"/>
    <w:rsid w:val="00ED0B7B"/>
    <w:rsid w:val="00ED0E03"/>
    <w:rsid w:val="00ED0E0F"/>
    <w:rsid w:val="00ED13EF"/>
    <w:rsid w:val="00ED1521"/>
    <w:rsid w:val="00ED16AA"/>
    <w:rsid w:val="00ED291B"/>
    <w:rsid w:val="00ED29FE"/>
    <w:rsid w:val="00ED30A3"/>
    <w:rsid w:val="00ED3809"/>
    <w:rsid w:val="00ED3CB3"/>
    <w:rsid w:val="00ED4154"/>
    <w:rsid w:val="00ED4271"/>
    <w:rsid w:val="00ED4910"/>
    <w:rsid w:val="00ED4922"/>
    <w:rsid w:val="00ED49AF"/>
    <w:rsid w:val="00ED58FF"/>
    <w:rsid w:val="00ED5C02"/>
    <w:rsid w:val="00ED63C0"/>
    <w:rsid w:val="00ED69A1"/>
    <w:rsid w:val="00ED79B9"/>
    <w:rsid w:val="00ED7F43"/>
    <w:rsid w:val="00EE024D"/>
    <w:rsid w:val="00EE032A"/>
    <w:rsid w:val="00EE06C5"/>
    <w:rsid w:val="00EE0DEC"/>
    <w:rsid w:val="00EE109F"/>
    <w:rsid w:val="00EE110E"/>
    <w:rsid w:val="00EE1E14"/>
    <w:rsid w:val="00EE23DA"/>
    <w:rsid w:val="00EE24CC"/>
    <w:rsid w:val="00EE28B2"/>
    <w:rsid w:val="00EE2E92"/>
    <w:rsid w:val="00EE2E9A"/>
    <w:rsid w:val="00EE30FF"/>
    <w:rsid w:val="00EE3716"/>
    <w:rsid w:val="00EE384A"/>
    <w:rsid w:val="00EE43B3"/>
    <w:rsid w:val="00EE4407"/>
    <w:rsid w:val="00EE44BF"/>
    <w:rsid w:val="00EE4C21"/>
    <w:rsid w:val="00EE4D1B"/>
    <w:rsid w:val="00EE56E8"/>
    <w:rsid w:val="00EE57C2"/>
    <w:rsid w:val="00EE5964"/>
    <w:rsid w:val="00EE5E7E"/>
    <w:rsid w:val="00EE6106"/>
    <w:rsid w:val="00EE6B62"/>
    <w:rsid w:val="00EE6DCB"/>
    <w:rsid w:val="00EE7131"/>
    <w:rsid w:val="00EE7266"/>
    <w:rsid w:val="00EF06C9"/>
    <w:rsid w:val="00EF076D"/>
    <w:rsid w:val="00EF09B8"/>
    <w:rsid w:val="00EF19FD"/>
    <w:rsid w:val="00EF1A8C"/>
    <w:rsid w:val="00EF1D8B"/>
    <w:rsid w:val="00EF1E5C"/>
    <w:rsid w:val="00EF2097"/>
    <w:rsid w:val="00EF2A7F"/>
    <w:rsid w:val="00EF2C25"/>
    <w:rsid w:val="00EF2C35"/>
    <w:rsid w:val="00EF3023"/>
    <w:rsid w:val="00EF42D7"/>
    <w:rsid w:val="00EF4A9B"/>
    <w:rsid w:val="00EF4C7C"/>
    <w:rsid w:val="00EF4E71"/>
    <w:rsid w:val="00EF637C"/>
    <w:rsid w:val="00EF6879"/>
    <w:rsid w:val="00EF6E54"/>
    <w:rsid w:val="00EF71F0"/>
    <w:rsid w:val="00EF75D3"/>
    <w:rsid w:val="00F00375"/>
    <w:rsid w:val="00F007DD"/>
    <w:rsid w:val="00F011A7"/>
    <w:rsid w:val="00F01273"/>
    <w:rsid w:val="00F0144D"/>
    <w:rsid w:val="00F0157A"/>
    <w:rsid w:val="00F018B6"/>
    <w:rsid w:val="00F01C6D"/>
    <w:rsid w:val="00F01CE9"/>
    <w:rsid w:val="00F01D69"/>
    <w:rsid w:val="00F0257A"/>
    <w:rsid w:val="00F02774"/>
    <w:rsid w:val="00F02A5C"/>
    <w:rsid w:val="00F02B19"/>
    <w:rsid w:val="00F03534"/>
    <w:rsid w:val="00F04227"/>
    <w:rsid w:val="00F04DC4"/>
    <w:rsid w:val="00F055F3"/>
    <w:rsid w:val="00F057FA"/>
    <w:rsid w:val="00F066D9"/>
    <w:rsid w:val="00F06FDB"/>
    <w:rsid w:val="00F0722D"/>
    <w:rsid w:val="00F07832"/>
    <w:rsid w:val="00F07C01"/>
    <w:rsid w:val="00F07D6E"/>
    <w:rsid w:val="00F10031"/>
    <w:rsid w:val="00F105AA"/>
    <w:rsid w:val="00F1067B"/>
    <w:rsid w:val="00F10956"/>
    <w:rsid w:val="00F10C65"/>
    <w:rsid w:val="00F10F8C"/>
    <w:rsid w:val="00F11119"/>
    <w:rsid w:val="00F114ED"/>
    <w:rsid w:val="00F11A8C"/>
    <w:rsid w:val="00F11F49"/>
    <w:rsid w:val="00F13078"/>
    <w:rsid w:val="00F1327A"/>
    <w:rsid w:val="00F14186"/>
    <w:rsid w:val="00F14822"/>
    <w:rsid w:val="00F14AD4"/>
    <w:rsid w:val="00F14B14"/>
    <w:rsid w:val="00F1569D"/>
    <w:rsid w:val="00F15AE0"/>
    <w:rsid w:val="00F15D4D"/>
    <w:rsid w:val="00F15F72"/>
    <w:rsid w:val="00F16910"/>
    <w:rsid w:val="00F169FA"/>
    <w:rsid w:val="00F17264"/>
    <w:rsid w:val="00F17819"/>
    <w:rsid w:val="00F17932"/>
    <w:rsid w:val="00F200C4"/>
    <w:rsid w:val="00F204F1"/>
    <w:rsid w:val="00F21C1F"/>
    <w:rsid w:val="00F21D84"/>
    <w:rsid w:val="00F21E4A"/>
    <w:rsid w:val="00F22107"/>
    <w:rsid w:val="00F22761"/>
    <w:rsid w:val="00F22A56"/>
    <w:rsid w:val="00F22FB2"/>
    <w:rsid w:val="00F23521"/>
    <w:rsid w:val="00F240C5"/>
    <w:rsid w:val="00F24114"/>
    <w:rsid w:val="00F2417B"/>
    <w:rsid w:val="00F249C1"/>
    <w:rsid w:val="00F24D45"/>
    <w:rsid w:val="00F24F8B"/>
    <w:rsid w:val="00F2525B"/>
    <w:rsid w:val="00F25779"/>
    <w:rsid w:val="00F25E9F"/>
    <w:rsid w:val="00F2678C"/>
    <w:rsid w:val="00F26A20"/>
    <w:rsid w:val="00F272C6"/>
    <w:rsid w:val="00F27659"/>
    <w:rsid w:val="00F30023"/>
    <w:rsid w:val="00F3075E"/>
    <w:rsid w:val="00F30854"/>
    <w:rsid w:val="00F30AC0"/>
    <w:rsid w:val="00F30C56"/>
    <w:rsid w:val="00F30D86"/>
    <w:rsid w:val="00F30EDD"/>
    <w:rsid w:val="00F30F54"/>
    <w:rsid w:val="00F30FC6"/>
    <w:rsid w:val="00F316B1"/>
    <w:rsid w:val="00F32BDB"/>
    <w:rsid w:val="00F32E46"/>
    <w:rsid w:val="00F331CC"/>
    <w:rsid w:val="00F337AB"/>
    <w:rsid w:val="00F33D50"/>
    <w:rsid w:val="00F3420C"/>
    <w:rsid w:val="00F3496C"/>
    <w:rsid w:val="00F35B24"/>
    <w:rsid w:val="00F35B9D"/>
    <w:rsid w:val="00F36018"/>
    <w:rsid w:val="00F360CA"/>
    <w:rsid w:val="00F36196"/>
    <w:rsid w:val="00F362B7"/>
    <w:rsid w:val="00F36599"/>
    <w:rsid w:val="00F36771"/>
    <w:rsid w:val="00F36A81"/>
    <w:rsid w:val="00F36AFA"/>
    <w:rsid w:val="00F37096"/>
    <w:rsid w:val="00F37991"/>
    <w:rsid w:val="00F37B66"/>
    <w:rsid w:val="00F400B6"/>
    <w:rsid w:val="00F407F3"/>
    <w:rsid w:val="00F4089D"/>
    <w:rsid w:val="00F40938"/>
    <w:rsid w:val="00F40A77"/>
    <w:rsid w:val="00F40C68"/>
    <w:rsid w:val="00F40FAD"/>
    <w:rsid w:val="00F41463"/>
    <w:rsid w:val="00F41C18"/>
    <w:rsid w:val="00F42618"/>
    <w:rsid w:val="00F427E4"/>
    <w:rsid w:val="00F42849"/>
    <w:rsid w:val="00F42B84"/>
    <w:rsid w:val="00F43062"/>
    <w:rsid w:val="00F43471"/>
    <w:rsid w:val="00F44119"/>
    <w:rsid w:val="00F444BB"/>
    <w:rsid w:val="00F445E5"/>
    <w:rsid w:val="00F44681"/>
    <w:rsid w:val="00F44CEE"/>
    <w:rsid w:val="00F4523C"/>
    <w:rsid w:val="00F4541A"/>
    <w:rsid w:val="00F4551B"/>
    <w:rsid w:val="00F45C5A"/>
    <w:rsid w:val="00F45E9A"/>
    <w:rsid w:val="00F460BF"/>
    <w:rsid w:val="00F46484"/>
    <w:rsid w:val="00F469EE"/>
    <w:rsid w:val="00F46BEC"/>
    <w:rsid w:val="00F47027"/>
    <w:rsid w:val="00F47D1B"/>
    <w:rsid w:val="00F47F33"/>
    <w:rsid w:val="00F50325"/>
    <w:rsid w:val="00F50406"/>
    <w:rsid w:val="00F5041C"/>
    <w:rsid w:val="00F506E7"/>
    <w:rsid w:val="00F50EFE"/>
    <w:rsid w:val="00F510A2"/>
    <w:rsid w:val="00F511F4"/>
    <w:rsid w:val="00F51A61"/>
    <w:rsid w:val="00F522A0"/>
    <w:rsid w:val="00F52367"/>
    <w:rsid w:val="00F524FD"/>
    <w:rsid w:val="00F526FD"/>
    <w:rsid w:val="00F5276C"/>
    <w:rsid w:val="00F52A2A"/>
    <w:rsid w:val="00F52C0F"/>
    <w:rsid w:val="00F52FB6"/>
    <w:rsid w:val="00F52FC9"/>
    <w:rsid w:val="00F531A5"/>
    <w:rsid w:val="00F5326D"/>
    <w:rsid w:val="00F534E1"/>
    <w:rsid w:val="00F534E6"/>
    <w:rsid w:val="00F535F5"/>
    <w:rsid w:val="00F53779"/>
    <w:rsid w:val="00F53CE2"/>
    <w:rsid w:val="00F53EA0"/>
    <w:rsid w:val="00F5419A"/>
    <w:rsid w:val="00F541F8"/>
    <w:rsid w:val="00F5451B"/>
    <w:rsid w:val="00F54616"/>
    <w:rsid w:val="00F54C4F"/>
    <w:rsid w:val="00F54C83"/>
    <w:rsid w:val="00F550AF"/>
    <w:rsid w:val="00F551F3"/>
    <w:rsid w:val="00F567FF"/>
    <w:rsid w:val="00F56C0E"/>
    <w:rsid w:val="00F56C83"/>
    <w:rsid w:val="00F56D15"/>
    <w:rsid w:val="00F56E7D"/>
    <w:rsid w:val="00F56F41"/>
    <w:rsid w:val="00F5775F"/>
    <w:rsid w:val="00F600D2"/>
    <w:rsid w:val="00F6123E"/>
    <w:rsid w:val="00F61AB7"/>
    <w:rsid w:val="00F61AF8"/>
    <w:rsid w:val="00F6207D"/>
    <w:rsid w:val="00F628C5"/>
    <w:rsid w:val="00F62A8F"/>
    <w:rsid w:val="00F62B30"/>
    <w:rsid w:val="00F62B67"/>
    <w:rsid w:val="00F62F84"/>
    <w:rsid w:val="00F63199"/>
    <w:rsid w:val="00F632F5"/>
    <w:rsid w:val="00F63751"/>
    <w:rsid w:val="00F6388A"/>
    <w:rsid w:val="00F63F77"/>
    <w:rsid w:val="00F63FFD"/>
    <w:rsid w:val="00F643C1"/>
    <w:rsid w:val="00F6447B"/>
    <w:rsid w:val="00F6485F"/>
    <w:rsid w:val="00F648AE"/>
    <w:rsid w:val="00F64923"/>
    <w:rsid w:val="00F64E4F"/>
    <w:rsid w:val="00F650DA"/>
    <w:rsid w:val="00F655A0"/>
    <w:rsid w:val="00F655FD"/>
    <w:rsid w:val="00F65603"/>
    <w:rsid w:val="00F659A9"/>
    <w:rsid w:val="00F659D8"/>
    <w:rsid w:val="00F663C4"/>
    <w:rsid w:val="00F669A8"/>
    <w:rsid w:val="00F66A96"/>
    <w:rsid w:val="00F66DCB"/>
    <w:rsid w:val="00F674BB"/>
    <w:rsid w:val="00F67AF5"/>
    <w:rsid w:val="00F67B8E"/>
    <w:rsid w:val="00F67BDA"/>
    <w:rsid w:val="00F703A1"/>
    <w:rsid w:val="00F70AF6"/>
    <w:rsid w:val="00F70E2F"/>
    <w:rsid w:val="00F71392"/>
    <w:rsid w:val="00F71629"/>
    <w:rsid w:val="00F7191A"/>
    <w:rsid w:val="00F71CB9"/>
    <w:rsid w:val="00F71CCA"/>
    <w:rsid w:val="00F721E0"/>
    <w:rsid w:val="00F72621"/>
    <w:rsid w:val="00F72704"/>
    <w:rsid w:val="00F72858"/>
    <w:rsid w:val="00F72974"/>
    <w:rsid w:val="00F73CAE"/>
    <w:rsid w:val="00F74051"/>
    <w:rsid w:val="00F74809"/>
    <w:rsid w:val="00F74BEE"/>
    <w:rsid w:val="00F74F24"/>
    <w:rsid w:val="00F74F4B"/>
    <w:rsid w:val="00F757A3"/>
    <w:rsid w:val="00F75FA2"/>
    <w:rsid w:val="00F7645B"/>
    <w:rsid w:val="00F764DC"/>
    <w:rsid w:val="00F7705B"/>
    <w:rsid w:val="00F77135"/>
    <w:rsid w:val="00F77F77"/>
    <w:rsid w:val="00F8001D"/>
    <w:rsid w:val="00F800E9"/>
    <w:rsid w:val="00F80129"/>
    <w:rsid w:val="00F8045C"/>
    <w:rsid w:val="00F80751"/>
    <w:rsid w:val="00F80A5C"/>
    <w:rsid w:val="00F80FBE"/>
    <w:rsid w:val="00F81599"/>
    <w:rsid w:val="00F81896"/>
    <w:rsid w:val="00F818D5"/>
    <w:rsid w:val="00F8196E"/>
    <w:rsid w:val="00F81A0E"/>
    <w:rsid w:val="00F81CDB"/>
    <w:rsid w:val="00F82595"/>
    <w:rsid w:val="00F8288A"/>
    <w:rsid w:val="00F82A65"/>
    <w:rsid w:val="00F82C9F"/>
    <w:rsid w:val="00F82DBF"/>
    <w:rsid w:val="00F834A8"/>
    <w:rsid w:val="00F83C78"/>
    <w:rsid w:val="00F84052"/>
    <w:rsid w:val="00F8425E"/>
    <w:rsid w:val="00F84519"/>
    <w:rsid w:val="00F84633"/>
    <w:rsid w:val="00F8477A"/>
    <w:rsid w:val="00F84885"/>
    <w:rsid w:val="00F84B14"/>
    <w:rsid w:val="00F84FA1"/>
    <w:rsid w:val="00F8521F"/>
    <w:rsid w:val="00F852B0"/>
    <w:rsid w:val="00F85563"/>
    <w:rsid w:val="00F8573E"/>
    <w:rsid w:val="00F85C76"/>
    <w:rsid w:val="00F8623B"/>
    <w:rsid w:val="00F867DE"/>
    <w:rsid w:val="00F867FB"/>
    <w:rsid w:val="00F871C2"/>
    <w:rsid w:val="00F871C7"/>
    <w:rsid w:val="00F87639"/>
    <w:rsid w:val="00F87711"/>
    <w:rsid w:val="00F877DF"/>
    <w:rsid w:val="00F9051F"/>
    <w:rsid w:val="00F91046"/>
    <w:rsid w:val="00F91112"/>
    <w:rsid w:val="00F91585"/>
    <w:rsid w:val="00F91A37"/>
    <w:rsid w:val="00F923CD"/>
    <w:rsid w:val="00F926C9"/>
    <w:rsid w:val="00F928A4"/>
    <w:rsid w:val="00F929C2"/>
    <w:rsid w:val="00F92C61"/>
    <w:rsid w:val="00F93ED2"/>
    <w:rsid w:val="00F9446C"/>
    <w:rsid w:val="00F9467D"/>
    <w:rsid w:val="00F949F2"/>
    <w:rsid w:val="00F94F67"/>
    <w:rsid w:val="00F956EB"/>
    <w:rsid w:val="00F9582E"/>
    <w:rsid w:val="00F95A3D"/>
    <w:rsid w:val="00F95E25"/>
    <w:rsid w:val="00F96151"/>
    <w:rsid w:val="00F96171"/>
    <w:rsid w:val="00F96395"/>
    <w:rsid w:val="00F96640"/>
    <w:rsid w:val="00F96B9D"/>
    <w:rsid w:val="00F96CC0"/>
    <w:rsid w:val="00F96F19"/>
    <w:rsid w:val="00F971C8"/>
    <w:rsid w:val="00F9787D"/>
    <w:rsid w:val="00F97B2D"/>
    <w:rsid w:val="00FA05F5"/>
    <w:rsid w:val="00FA0847"/>
    <w:rsid w:val="00FA099B"/>
    <w:rsid w:val="00FA1D60"/>
    <w:rsid w:val="00FA1FE1"/>
    <w:rsid w:val="00FA251F"/>
    <w:rsid w:val="00FA2718"/>
    <w:rsid w:val="00FA2812"/>
    <w:rsid w:val="00FA2CFB"/>
    <w:rsid w:val="00FA2F12"/>
    <w:rsid w:val="00FA3146"/>
    <w:rsid w:val="00FA33A6"/>
    <w:rsid w:val="00FA3404"/>
    <w:rsid w:val="00FA469A"/>
    <w:rsid w:val="00FA4B22"/>
    <w:rsid w:val="00FA5070"/>
    <w:rsid w:val="00FA53EB"/>
    <w:rsid w:val="00FA56C2"/>
    <w:rsid w:val="00FA57EC"/>
    <w:rsid w:val="00FA6018"/>
    <w:rsid w:val="00FA6385"/>
    <w:rsid w:val="00FA6734"/>
    <w:rsid w:val="00FA6A15"/>
    <w:rsid w:val="00FA6A3C"/>
    <w:rsid w:val="00FA6BAD"/>
    <w:rsid w:val="00FA6CBB"/>
    <w:rsid w:val="00FA7132"/>
    <w:rsid w:val="00FA7175"/>
    <w:rsid w:val="00FA71BB"/>
    <w:rsid w:val="00FB01FA"/>
    <w:rsid w:val="00FB0421"/>
    <w:rsid w:val="00FB04F4"/>
    <w:rsid w:val="00FB05D4"/>
    <w:rsid w:val="00FB0BA1"/>
    <w:rsid w:val="00FB0C23"/>
    <w:rsid w:val="00FB197F"/>
    <w:rsid w:val="00FB1E04"/>
    <w:rsid w:val="00FB1EFF"/>
    <w:rsid w:val="00FB209A"/>
    <w:rsid w:val="00FB20C6"/>
    <w:rsid w:val="00FB20E2"/>
    <w:rsid w:val="00FB21C7"/>
    <w:rsid w:val="00FB2213"/>
    <w:rsid w:val="00FB228B"/>
    <w:rsid w:val="00FB24D4"/>
    <w:rsid w:val="00FB256A"/>
    <w:rsid w:val="00FB2823"/>
    <w:rsid w:val="00FB2E19"/>
    <w:rsid w:val="00FB312C"/>
    <w:rsid w:val="00FB3369"/>
    <w:rsid w:val="00FB3BEC"/>
    <w:rsid w:val="00FB3CFE"/>
    <w:rsid w:val="00FB410F"/>
    <w:rsid w:val="00FB42AE"/>
    <w:rsid w:val="00FB447E"/>
    <w:rsid w:val="00FB4787"/>
    <w:rsid w:val="00FB4DEC"/>
    <w:rsid w:val="00FB4F79"/>
    <w:rsid w:val="00FB5369"/>
    <w:rsid w:val="00FB5E8F"/>
    <w:rsid w:val="00FB65C4"/>
    <w:rsid w:val="00FB66B0"/>
    <w:rsid w:val="00FB680E"/>
    <w:rsid w:val="00FB6D8D"/>
    <w:rsid w:val="00FB7638"/>
    <w:rsid w:val="00FC065B"/>
    <w:rsid w:val="00FC0828"/>
    <w:rsid w:val="00FC0C76"/>
    <w:rsid w:val="00FC0DC7"/>
    <w:rsid w:val="00FC0E9C"/>
    <w:rsid w:val="00FC1037"/>
    <w:rsid w:val="00FC125B"/>
    <w:rsid w:val="00FC17EF"/>
    <w:rsid w:val="00FC1F59"/>
    <w:rsid w:val="00FC21A9"/>
    <w:rsid w:val="00FC2DD9"/>
    <w:rsid w:val="00FC3746"/>
    <w:rsid w:val="00FC39AC"/>
    <w:rsid w:val="00FC4007"/>
    <w:rsid w:val="00FC4356"/>
    <w:rsid w:val="00FC4A44"/>
    <w:rsid w:val="00FC4F80"/>
    <w:rsid w:val="00FC55D6"/>
    <w:rsid w:val="00FC6DE8"/>
    <w:rsid w:val="00FC7A5E"/>
    <w:rsid w:val="00FC7DC4"/>
    <w:rsid w:val="00FC7DD9"/>
    <w:rsid w:val="00FD0607"/>
    <w:rsid w:val="00FD0A04"/>
    <w:rsid w:val="00FD0B63"/>
    <w:rsid w:val="00FD0E0A"/>
    <w:rsid w:val="00FD136B"/>
    <w:rsid w:val="00FD1666"/>
    <w:rsid w:val="00FD19F1"/>
    <w:rsid w:val="00FD1EDD"/>
    <w:rsid w:val="00FD1EE0"/>
    <w:rsid w:val="00FD2021"/>
    <w:rsid w:val="00FD2203"/>
    <w:rsid w:val="00FD24F2"/>
    <w:rsid w:val="00FD261A"/>
    <w:rsid w:val="00FD2994"/>
    <w:rsid w:val="00FD2B0D"/>
    <w:rsid w:val="00FD3127"/>
    <w:rsid w:val="00FD32AE"/>
    <w:rsid w:val="00FD385D"/>
    <w:rsid w:val="00FD3CC1"/>
    <w:rsid w:val="00FD40BB"/>
    <w:rsid w:val="00FD438A"/>
    <w:rsid w:val="00FD451D"/>
    <w:rsid w:val="00FD48A2"/>
    <w:rsid w:val="00FD4C53"/>
    <w:rsid w:val="00FD4CF3"/>
    <w:rsid w:val="00FD4E53"/>
    <w:rsid w:val="00FD4EA3"/>
    <w:rsid w:val="00FD5207"/>
    <w:rsid w:val="00FD56C6"/>
    <w:rsid w:val="00FD5AB4"/>
    <w:rsid w:val="00FD609F"/>
    <w:rsid w:val="00FD616F"/>
    <w:rsid w:val="00FD6665"/>
    <w:rsid w:val="00FD6805"/>
    <w:rsid w:val="00FD68F0"/>
    <w:rsid w:val="00FD68F6"/>
    <w:rsid w:val="00FD74B5"/>
    <w:rsid w:val="00FD783F"/>
    <w:rsid w:val="00FD78D6"/>
    <w:rsid w:val="00FE034A"/>
    <w:rsid w:val="00FE111C"/>
    <w:rsid w:val="00FE1574"/>
    <w:rsid w:val="00FE1BC9"/>
    <w:rsid w:val="00FE202F"/>
    <w:rsid w:val="00FE2BFE"/>
    <w:rsid w:val="00FE3747"/>
    <w:rsid w:val="00FE3B0A"/>
    <w:rsid w:val="00FE3C59"/>
    <w:rsid w:val="00FE4ADD"/>
    <w:rsid w:val="00FE4B10"/>
    <w:rsid w:val="00FE522D"/>
    <w:rsid w:val="00FE5D48"/>
    <w:rsid w:val="00FE5D72"/>
    <w:rsid w:val="00FE61CE"/>
    <w:rsid w:val="00FE64DD"/>
    <w:rsid w:val="00FE6C15"/>
    <w:rsid w:val="00FE6CDD"/>
    <w:rsid w:val="00FE76E2"/>
    <w:rsid w:val="00FE79D8"/>
    <w:rsid w:val="00FE7A1B"/>
    <w:rsid w:val="00FF05F7"/>
    <w:rsid w:val="00FF0F72"/>
    <w:rsid w:val="00FF14BB"/>
    <w:rsid w:val="00FF2878"/>
    <w:rsid w:val="00FF2A3F"/>
    <w:rsid w:val="00FF2C66"/>
    <w:rsid w:val="00FF3440"/>
    <w:rsid w:val="00FF384C"/>
    <w:rsid w:val="00FF3C0D"/>
    <w:rsid w:val="00FF45DC"/>
    <w:rsid w:val="00FF5C00"/>
    <w:rsid w:val="00FF5FA8"/>
    <w:rsid w:val="00FF6485"/>
    <w:rsid w:val="00FF650E"/>
    <w:rsid w:val="00FF679D"/>
    <w:rsid w:val="00FF6D0B"/>
    <w:rsid w:val="00FF757E"/>
    <w:rsid w:val="00FF7FF0"/>
    <w:rsid w:val="643175A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semiHidden="0" w:name="heading 4"/>
    <w:lsdException w:unhideWhenUsed="0" w:uiPriority="9" w:semiHidden="0" w:name="heading 5"/>
    <w:lsdException w:unhideWhenUsed="0" w:uiPriority="9" w:semiHidden="0" w:name="heading 6"/>
    <w:lsdException w:unhideWhenUsed="0" w:uiPriority="9" w:semiHidden="0" w:name="heading 7"/>
    <w:lsdException w:unhideWhenUsed="0" w:uiPriority="9" w:semiHidden="0" w:name="heading 8"/>
    <w:lsdException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Calibri Light" w:hAnsi="Calibri Light" w:eastAsia="Times New Roman" w:cs="Times New Roman"/>
      <w:sz w:val="26"/>
      <w:szCs w:val="22"/>
      <w:lang w:val="hr-HR" w:eastAsia="hr-HR" w:bidi="ar-SA"/>
    </w:rPr>
  </w:style>
  <w:style w:type="paragraph" w:styleId="2">
    <w:name w:val="heading 1"/>
    <w:basedOn w:val="1"/>
    <w:next w:val="1"/>
    <w:link w:val="39"/>
    <w:qFormat/>
    <w:uiPriority w:val="9"/>
    <w:pPr>
      <w:spacing w:before="480" w:after="0"/>
      <w:contextualSpacing/>
      <w:outlineLvl w:val="0"/>
    </w:pPr>
    <w:rPr>
      <w:smallCaps/>
      <w:spacing w:val="5"/>
      <w:sz w:val="40"/>
      <w:szCs w:val="36"/>
    </w:rPr>
  </w:style>
  <w:style w:type="paragraph" w:styleId="3">
    <w:name w:val="heading 2"/>
    <w:basedOn w:val="1"/>
    <w:next w:val="1"/>
    <w:link w:val="40"/>
    <w:qFormat/>
    <w:uiPriority w:val="9"/>
    <w:pPr>
      <w:spacing w:before="200" w:after="0" w:line="271" w:lineRule="auto"/>
      <w:outlineLvl w:val="1"/>
    </w:pPr>
    <w:rPr>
      <w:smallCaps/>
      <w:sz w:val="32"/>
      <w:szCs w:val="28"/>
    </w:rPr>
  </w:style>
  <w:style w:type="paragraph" w:styleId="4">
    <w:name w:val="heading 3"/>
    <w:basedOn w:val="1"/>
    <w:next w:val="1"/>
    <w:link w:val="41"/>
    <w:qFormat/>
    <w:uiPriority w:val="9"/>
    <w:pPr>
      <w:spacing w:before="200" w:after="0" w:line="271" w:lineRule="auto"/>
      <w:outlineLvl w:val="2"/>
    </w:pPr>
    <w:rPr>
      <w:iCs/>
      <w:smallCaps/>
      <w:spacing w:val="5"/>
      <w:szCs w:val="26"/>
    </w:rPr>
  </w:style>
  <w:style w:type="paragraph" w:styleId="5">
    <w:name w:val="heading 4"/>
    <w:basedOn w:val="1"/>
    <w:next w:val="1"/>
    <w:link w:val="42"/>
    <w:uiPriority w:val="9"/>
    <w:pPr>
      <w:spacing w:after="0" w:line="271" w:lineRule="auto"/>
      <w:outlineLvl w:val="3"/>
    </w:pPr>
    <w:rPr>
      <w:b/>
      <w:bCs/>
      <w:spacing w:val="5"/>
      <w:szCs w:val="24"/>
    </w:rPr>
  </w:style>
  <w:style w:type="paragraph" w:styleId="6">
    <w:name w:val="heading 5"/>
    <w:basedOn w:val="1"/>
    <w:next w:val="1"/>
    <w:link w:val="43"/>
    <w:uiPriority w:val="9"/>
    <w:pPr>
      <w:spacing w:after="0" w:line="271" w:lineRule="auto"/>
      <w:outlineLvl w:val="4"/>
    </w:pPr>
    <w:rPr>
      <w:i/>
      <w:iCs/>
      <w:szCs w:val="24"/>
    </w:rPr>
  </w:style>
  <w:style w:type="paragraph" w:styleId="7">
    <w:name w:val="heading 6"/>
    <w:basedOn w:val="1"/>
    <w:next w:val="1"/>
    <w:link w:val="44"/>
    <w:uiPriority w:val="9"/>
    <w:pPr>
      <w:shd w:val="clear" w:color="auto" w:fill="FFFFFF"/>
      <w:spacing w:after="0" w:line="271" w:lineRule="auto"/>
      <w:outlineLvl w:val="5"/>
    </w:pPr>
    <w:rPr>
      <w:b/>
      <w:bCs/>
      <w:color w:val="595959"/>
      <w:spacing w:val="5"/>
    </w:rPr>
  </w:style>
  <w:style w:type="paragraph" w:styleId="8">
    <w:name w:val="heading 7"/>
    <w:basedOn w:val="1"/>
    <w:next w:val="1"/>
    <w:link w:val="45"/>
    <w:uiPriority w:val="9"/>
    <w:pPr>
      <w:spacing w:after="0"/>
      <w:outlineLvl w:val="6"/>
    </w:pPr>
    <w:rPr>
      <w:b/>
      <w:bCs/>
      <w:i/>
      <w:iCs/>
      <w:color w:val="5A5A5A"/>
      <w:sz w:val="20"/>
      <w:szCs w:val="20"/>
    </w:rPr>
  </w:style>
  <w:style w:type="paragraph" w:styleId="9">
    <w:name w:val="heading 8"/>
    <w:basedOn w:val="1"/>
    <w:next w:val="1"/>
    <w:link w:val="46"/>
    <w:uiPriority w:val="9"/>
    <w:pPr>
      <w:spacing w:after="0"/>
      <w:outlineLvl w:val="7"/>
    </w:pPr>
    <w:rPr>
      <w:b/>
      <w:bCs/>
      <w:color w:val="7F7F7F"/>
      <w:sz w:val="20"/>
      <w:szCs w:val="20"/>
    </w:rPr>
  </w:style>
  <w:style w:type="paragraph" w:styleId="10">
    <w:name w:val="heading 9"/>
    <w:basedOn w:val="1"/>
    <w:next w:val="1"/>
    <w:link w:val="47"/>
    <w:uiPriority w:val="9"/>
    <w:pPr>
      <w:spacing w:after="0" w:line="271" w:lineRule="auto"/>
      <w:outlineLvl w:val="8"/>
    </w:pPr>
    <w:rPr>
      <w:b/>
      <w:bCs/>
      <w:i/>
      <w:iCs/>
      <w:color w:val="7F7F7F"/>
      <w:sz w:val="18"/>
      <w:szCs w:val="1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pPr>
      <w:spacing w:after="0" w:line="360" w:lineRule="auto"/>
    </w:pPr>
    <w:rPr>
      <w:rFonts w:ascii="HRTimes" w:hAnsi="HRTimes"/>
      <w:b/>
      <w:sz w:val="20"/>
      <w:szCs w:val="20"/>
      <w:lang w:val="en-US"/>
    </w:rPr>
  </w:style>
  <w:style w:type="paragraph" w:styleId="15">
    <w:name w:val="Body Text 2"/>
    <w:basedOn w:val="1"/>
    <w:link w:val="169"/>
    <w:semiHidden/>
    <w:unhideWhenUsed/>
    <w:qFormat/>
    <w:uiPriority w:val="99"/>
    <w:pPr>
      <w:spacing w:line="480" w:lineRule="auto"/>
    </w:pPr>
  </w:style>
  <w:style w:type="paragraph" w:styleId="16">
    <w:name w:val="Body Text Indent"/>
    <w:basedOn w:val="1"/>
    <w:qFormat/>
    <w:uiPriority w:val="0"/>
    <w:pPr>
      <w:ind w:left="283"/>
    </w:pPr>
  </w:style>
  <w:style w:type="paragraph" w:styleId="17">
    <w:name w:val="Body Text Indent 3"/>
    <w:basedOn w:val="1"/>
    <w:qFormat/>
    <w:uiPriority w:val="0"/>
    <w:pPr>
      <w:spacing w:after="0" w:line="240" w:lineRule="auto"/>
      <w:ind w:left="540"/>
    </w:pPr>
    <w:rPr>
      <w:rFonts w:ascii="Times New Roman" w:hAnsi="Times New Roman"/>
      <w:i/>
      <w:iCs/>
      <w:szCs w:val="24"/>
    </w:rPr>
  </w:style>
  <w:style w:type="paragraph" w:styleId="18">
    <w:name w:val="caption"/>
    <w:basedOn w:val="1"/>
    <w:next w:val="1"/>
    <w:qFormat/>
    <w:uiPriority w:val="35"/>
    <w:rPr>
      <w:caps/>
      <w:spacing w:val="10"/>
      <w:sz w:val="18"/>
      <w:szCs w:val="18"/>
    </w:rPr>
  </w:style>
  <w:style w:type="character" w:styleId="19">
    <w:name w:val="annotation reference"/>
    <w:qFormat/>
    <w:uiPriority w:val="0"/>
    <w:rPr>
      <w:sz w:val="16"/>
      <w:szCs w:val="16"/>
    </w:rPr>
  </w:style>
  <w:style w:type="paragraph" w:styleId="20">
    <w:name w:val="annotation text"/>
    <w:basedOn w:val="1"/>
    <w:link w:val="155"/>
    <w:qFormat/>
    <w:uiPriority w:val="0"/>
    <w:pPr>
      <w:spacing w:after="0" w:line="240" w:lineRule="auto"/>
    </w:pPr>
    <w:rPr>
      <w:rFonts w:ascii="Times New Roman" w:hAnsi="Times New Roman"/>
      <w:sz w:val="20"/>
      <w:szCs w:val="20"/>
      <w:lang w:val="en-US" w:eastAsia="en-US"/>
    </w:rPr>
  </w:style>
  <w:style w:type="paragraph" w:styleId="21">
    <w:name w:val="annotation subject"/>
    <w:basedOn w:val="20"/>
    <w:next w:val="20"/>
    <w:semiHidden/>
    <w:qFormat/>
    <w:uiPriority w:val="0"/>
    <w:pPr>
      <w:spacing w:after="200" w:line="276" w:lineRule="auto"/>
      <w:jc w:val="left"/>
    </w:pPr>
    <w:rPr>
      <w:rFonts w:ascii="Cambria" w:hAnsi="Cambria"/>
      <w:b/>
      <w:bCs/>
      <w:lang w:val="hr-HR" w:eastAsia="hr-HR"/>
    </w:rPr>
  </w:style>
  <w:style w:type="character" w:styleId="22">
    <w:name w:val="Emphasis"/>
    <w:qFormat/>
    <w:uiPriority w:val="0"/>
    <w:rPr>
      <w:b/>
      <w:bCs/>
      <w:i/>
      <w:iCs/>
      <w:spacing w:val="10"/>
    </w:rPr>
  </w:style>
  <w:style w:type="character" w:styleId="23">
    <w:name w:val="FollowedHyperlink"/>
    <w:semiHidden/>
    <w:unhideWhenUsed/>
    <w:qFormat/>
    <w:uiPriority w:val="99"/>
    <w:rPr>
      <w:color w:val="800080"/>
      <w:u w:val="single"/>
    </w:rPr>
  </w:style>
  <w:style w:type="paragraph" w:styleId="24">
    <w:name w:val="footer"/>
    <w:basedOn w:val="1"/>
    <w:link w:val="64"/>
    <w:unhideWhenUsed/>
    <w:qFormat/>
    <w:uiPriority w:val="99"/>
    <w:pPr>
      <w:tabs>
        <w:tab w:val="center" w:pos="4536"/>
        <w:tab w:val="right" w:pos="9072"/>
      </w:tabs>
    </w:pPr>
  </w:style>
  <w:style w:type="character" w:styleId="25">
    <w:name w:val="footnote reference"/>
    <w:basedOn w:val="11"/>
    <w:semiHidden/>
    <w:unhideWhenUsed/>
    <w:qFormat/>
    <w:uiPriority w:val="99"/>
    <w:rPr>
      <w:vertAlign w:val="superscript"/>
    </w:rPr>
  </w:style>
  <w:style w:type="paragraph" w:styleId="26">
    <w:name w:val="footnote text"/>
    <w:basedOn w:val="1"/>
    <w:link w:val="162"/>
    <w:semiHidden/>
    <w:unhideWhenUsed/>
    <w:qFormat/>
    <w:uiPriority w:val="99"/>
    <w:pPr>
      <w:spacing w:after="0" w:line="240" w:lineRule="auto"/>
      <w:jc w:val="left"/>
    </w:pPr>
    <w:rPr>
      <w:rFonts w:asciiTheme="minorHAnsi" w:hAnsiTheme="minorHAnsi" w:eastAsiaTheme="minorHAnsi" w:cstheme="minorBidi"/>
      <w:sz w:val="20"/>
      <w:szCs w:val="20"/>
      <w:lang w:eastAsia="en-US"/>
    </w:rPr>
  </w:style>
  <w:style w:type="paragraph" w:styleId="27">
    <w:name w:val="header"/>
    <w:basedOn w:val="1"/>
    <w:link w:val="63"/>
    <w:unhideWhenUsed/>
    <w:qFormat/>
    <w:uiPriority w:val="99"/>
    <w:pPr>
      <w:tabs>
        <w:tab w:val="center" w:pos="4536"/>
        <w:tab w:val="right" w:pos="9072"/>
      </w:tabs>
    </w:pPr>
  </w:style>
  <w:style w:type="character" w:styleId="28">
    <w:name w:val="Hyperlink"/>
    <w:unhideWhenUsed/>
    <w:qFormat/>
    <w:uiPriority w:val="99"/>
    <w:rPr>
      <w:color w:val="0000FF"/>
      <w:u w:val="single"/>
    </w:rPr>
  </w:style>
  <w:style w:type="paragraph" w:styleId="29">
    <w:name w:val="Normal (Web)"/>
    <w:basedOn w:val="1"/>
    <w:qFormat/>
    <w:uiPriority w:val="99"/>
    <w:pPr>
      <w:spacing w:before="100" w:beforeAutospacing="1" w:after="100" w:afterAutospacing="1" w:line="240" w:lineRule="auto"/>
    </w:pPr>
    <w:rPr>
      <w:rFonts w:ascii="Times New Roman" w:hAnsi="Times New Roman"/>
      <w:szCs w:val="24"/>
    </w:rPr>
  </w:style>
  <w:style w:type="character" w:styleId="30">
    <w:name w:val="page number"/>
    <w:basedOn w:val="11"/>
    <w:qFormat/>
    <w:uiPriority w:val="0"/>
  </w:style>
  <w:style w:type="paragraph" w:styleId="31">
    <w:name w:val="Plain Text"/>
    <w:basedOn w:val="1"/>
    <w:link w:val="159"/>
    <w:qFormat/>
    <w:uiPriority w:val="99"/>
    <w:pPr>
      <w:spacing w:before="120" w:after="0" w:line="240" w:lineRule="auto"/>
      <w:ind w:left="567"/>
    </w:pPr>
    <w:rPr>
      <w:rFonts w:ascii="Arial" w:hAnsi="Arial"/>
      <w:szCs w:val="20"/>
    </w:rPr>
  </w:style>
  <w:style w:type="character" w:styleId="32">
    <w:name w:val="Strong"/>
    <w:qFormat/>
    <w:uiPriority w:val="22"/>
    <w:rPr>
      <w:b/>
      <w:bCs/>
    </w:rPr>
  </w:style>
  <w:style w:type="paragraph" w:styleId="33">
    <w:name w:val="Subtitle"/>
    <w:basedOn w:val="1"/>
    <w:next w:val="1"/>
    <w:link w:val="49"/>
    <w:qFormat/>
    <w:uiPriority w:val="11"/>
    <w:rPr>
      <w:i/>
      <w:iCs/>
      <w:smallCaps/>
      <w:spacing w:val="10"/>
      <w:sz w:val="28"/>
      <w:szCs w:val="28"/>
    </w:rPr>
  </w:style>
  <w:style w:type="table" w:styleId="34">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5">
    <w:name w:val="Title"/>
    <w:basedOn w:val="1"/>
    <w:next w:val="1"/>
    <w:link w:val="48"/>
    <w:qFormat/>
    <w:uiPriority w:val="10"/>
    <w:pPr>
      <w:spacing w:after="300" w:line="240" w:lineRule="auto"/>
      <w:contextualSpacing/>
      <w:jc w:val="center"/>
    </w:pPr>
    <w:rPr>
      <w:smallCaps/>
      <w:color w:val="203864" w:themeColor="accent1" w:themeShade="80"/>
      <w:sz w:val="52"/>
      <w:szCs w:val="44"/>
    </w:rPr>
  </w:style>
  <w:style w:type="paragraph" w:styleId="36">
    <w:name w:val="toc 1"/>
    <w:basedOn w:val="1"/>
    <w:next w:val="1"/>
    <w:autoRedefine/>
    <w:unhideWhenUsed/>
    <w:qFormat/>
    <w:uiPriority w:val="39"/>
    <w:pPr>
      <w:tabs>
        <w:tab w:val="right" w:leader="dot" w:pos="9062"/>
      </w:tabs>
    </w:pPr>
  </w:style>
  <w:style w:type="paragraph" w:styleId="37">
    <w:name w:val="toc 2"/>
    <w:basedOn w:val="1"/>
    <w:next w:val="1"/>
    <w:autoRedefine/>
    <w:unhideWhenUsed/>
    <w:qFormat/>
    <w:uiPriority w:val="39"/>
    <w:pPr>
      <w:ind w:left="220"/>
    </w:pPr>
  </w:style>
  <w:style w:type="paragraph" w:styleId="38">
    <w:name w:val="toc 3"/>
    <w:basedOn w:val="1"/>
    <w:next w:val="1"/>
    <w:autoRedefine/>
    <w:unhideWhenUsed/>
    <w:qFormat/>
    <w:uiPriority w:val="39"/>
    <w:pPr>
      <w:ind w:left="480"/>
    </w:pPr>
  </w:style>
  <w:style w:type="character" w:customStyle="1" w:styleId="39">
    <w:name w:val="Heading 1 Char"/>
    <w:link w:val="2"/>
    <w:uiPriority w:val="9"/>
    <w:rPr>
      <w:rFonts w:ascii="Calibri Light" w:hAnsi="Calibri Light"/>
      <w:smallCaps/>
      <w:spacing w:val="5"/>
      <w:sz w:val="40"/>
      <w:szCs w:val="36"/>
    </w:rPr>
  </w:style>
  <w:style w:type="character" w:customStyle="1" w:styleId="40">
    <w:name w:val="Heading 2 Char"/>
    <w:link w:val="3"/>
    <w:uiPriority w:val="9"/>
    <w:rPr>
      <w:rFonts w:ascii="Calibri Light" w:hAnsi="Calibri Light"/>
      <w:smallCaps/>
      <w:sz w:val="32"/>
      <w:szCs w:val="28"/>
    </w:rPr>
  </w:style>
  <w:style w:type="character" w:customStyle="1" w:styleId="41">
    <w:name w:val="Heading 3 Char"/>
    <w:link w:val="4"/>
    <w:uiPriority w:val="9"/>
    <w:rPr>
      <w:iCs/>
      <w:smallCaps/>
      <w:spacing w:val="5"/>
      <w:sz w:val="26"/>
      <w:szCs w:val="26"/>
    </w:rPr>
  </w:style>
  <w:style w:type="character" w:customStyle="1" w:styleId="42">
    <w:name w:val="Heading 4 Char"/>
    <w:link w:val="5"/>
    <w:semiHidden/>
    <w:uiPriority w:val="9"/>
    <w:rPr>
      <w:b/>
      <w:bCs/>
      <w:spacing w:val="5"/>
      <w:sz w:val="24"/>
      <w:szCs w:val="24"/>
    </w:rPr>
  </w:style>
  <w:style w:type="character" w:customStyle="1" w:styleId="43">
    <w:name w:val="Heading 5 Char"/>
    <w:link w:val="6"/>
    <w:semiHidden/>
    <w:uiPriority w:val="9"/>
    <w:rPr>
      <w:i/>
      <w:iCs/>
      <w:sz w:val="24"/>
      <w:szCs w:val="24"/>
    </w:rPr>
  </w:style>
  <w:style w:type="character" w:customStyle="1" w:styleId="44">
    <w:name w:val="Heading 6 Char"/>
    <w:link w:val="7"/>
    <w:semiHidden/>
    <w:uiPriority w:val="9"/>
    <w:rPr>
      <w:b/>
      <w:bCs/>
      <w:color w:val="595959"/>
      <w:spacing w:val="5"/>
      <w:shd w:val="clear" w:color="auto" w:fill="FFFFFF"/>
    </w:rPr>
  </w:style>
  <w:style w:type="character" w:customStyle="1" w:styleId="45">
    <w:name w:val="Heading 7 Char"/>
    <w:link w:val="8"/>
    <w:semiHidden/>
    <w:qFormat/>
    <w:uiPriority w:val="9"/>
    <w:rPr>
      <w:b/>
      <w:bCs/>
      <w:i/>
      <w:iCs/>
      <w:color w:val="5A5A5A"/>
      <w:sz w:val="20"/>
      <w:szCs w:val="20"/>
    </w:rPr>
  </w:style>
  <w:style w:type="character" w:customStyle="1" w:styleId="46">
    <w:name w:val="Heading 8 Char"/>
    <w:link w:val="9"/>
    <w:semiHidden/>
    <w:qFormat/>
    <w:uiPriority w:val="9"/>
    <w:rPr>
      <w:b/>
      <w:bCs/>
      <w:color w:val="7F7F7F"/>
      <w:sz w:val="20"/>
      <w:szCs w:val="20"/>
    </w:rPr>
  </w:style>
  <w:style w:type="character" w:customStyle="1" w:styleId="47">
    <w:name w:val="Heading 9 Char"/>
    <w:link w:val="10"/>
    <w:semiHidden/>
    <w:qFormat/>
    <w:uiPriority w:val="9"/>
    <w:rPr>
      <w:b/>
      <w:bCs/>
      <w:i/>
      <w:iCs/>
      <w:color w:val="7F7F7F"/>
      <w:sz w:val="18"/>
      <w:szCs w:val="18"/>
    </w:rPr>
  </w:style>
  <w:style w:type="character" w:customStyle="1" w:styleId="48">
    <w:name w:val="Title Char"/>
    <w:link w:val="35"/>
    <w:qFormat/>
    <w:uiPriority w:val="10"/>
    <w:rPr>
      <w:rFonts w:ascii="Calibri Light" w:hAnsi="Calibri Light"/>
      <w:smallCaps/>
      <w:color w:val="203864" w:themeColor="accent1" w:themeShade="80"/>
      <w:sz w:val="52"/>
      <w:szCs w:val="44"/>
    </w:rPr>
  </w:style>
  <w:style w:type="character" w:customStyle="1" w:styleId="49">
    <w:name w:val="Subtitle Char"/>
    <w:link w:val="33"/>
    <w:qFormat/>
    <w:uiPriority w:val="11"/>
    <w:rPr>
      <w:i/>
      <w:iCs/>
      <w:smallCaps/>
      <w:spacing w:val="10"/>
      <w:sz w:val="28"/>
      <w:szCs w:val="28"/>
    </w:rPr>
  </w:style>
  <w:style w:type="paragraph" w:styleId="50">
    <w:name w:val="No Spacing"/>
    <w:basedOn w:val="1"/>
    <w:link w:val="51"/>
    <w:qFormat/>
    <w:uiPriority w:val="1"/>
    <w:pPr>
      <w:spacing w:after="0" w:line="240" w:lineRule="auto"/>
    </w:pPr>
  </w:style>
  <w:style w:type="character" w:customStyle="1" w:styleId="51">
    <w:name w:val="No Spacing Char"/>
    <w:link w:val="50"/>
    <w:qFormat/>
    <w:uiPriority w:val="1"/>
  </w:style>
  <w:style w:type="paragraph" w:styleId="52">
    <w:name w:val="List Paragraph"/>
    <w:basedOn w:val="1"/>
    <w:link w:val="161"/>
    <w:qFormat/>
    <w:uiPriority w:val="34"/>
    <w:pPr>
      <w:numPr>
        <w:ilvl w:val="0"/>
        <w:numId w:val="1"/>
      </w:numPr>
      <w:spacing w:before="120"/>
      <w:contextualSpacing/>
    </w:pPr>
  </w:style>
  <w:style w:type="paragraph" w:styleId="53">
    <w:name w:val="Quote"/>
    <w:basedOn w:val="1"/>
    <w:next w:val="1"/>
    <w:link w:val="54"/>
    <w:qFormat/>
    <w:uiPriority w:val="29"/>
    <w:rPr>
      <w:i/>
      <w:iCs/>
    </w:rPr>
  </w:style>
  <w:style w:type="character" w:customStyle="1" w:styleId="54">
    <w:name w:val="Quote Char"/>
    <w:link w:val="53"/>
    <w:qFormat/>
    <w:uiPriority w:val="29"/>
    <w:rPr>
      <w:i/>
      <w:iCs/>
    </w:rPr>
  </w:style>
  <w:style w:type="paragraph" w:styleId="55">
    <w:name w:val="Intense Quote"/>
    <w:basedOn w:val="1"/>
    <w:next w:val="1"/>
    <w:link w:val="56"/>
    <w:qFormat/>
    <w:uiPriority w:val="30"/>
    <w:pPr>
      <w:pBdr>
        <w:top w:val="single" w:color="auto" w:sz="4" w:space="10"/>
        <w:bottom w:val="single" w:color="auto" w:sz="4" w:space="10"/>
      </w:pBdr>
      <w:spacing w:before="240" w:after="240" w:line="300" w:lineRule="auto"/>
      <w:ind w:left="1152" w:right="1152"/>
    </w:pPr>
    <w:rPr>
      <w:i/>
      <w:iCs/>
    </w:rPr>
  </w:style>
  <w:style w:type="character" w:customStyle="1" w:styleId="56">
    <w:name w:val="Intense Quote Char"/>
    <w:link w:val="55"/>
    <w:qFormat/>
    <w:uiPriority w:val="30"/>
    <w:rPr>
      <w:i/>
      <w:iCs/>
    </w:rPr>
  </w:style>
  <w:style w:type="character" w:customStyle="1" w:styleId="57">
    <w:name w:val="Subtle Emphasis"/>
    <w:qFormat/>
    <w:uiPriority w:val="19"/>
    <w:rPr>
      <w:i/>
      <w:iCs/>
    </w:rPr>
  </w:style>
  <w:style w:type="character" w:customStyle="1" w:styleId="58">
    <w:name w:val="Intense Emphasis"/>
    <w:qFormat/>
    <w:uiPriority w:val="21"/>
    <w:rPr>
      <w:b/>
      <w:bCs/>
      <w:i/>
      <w:iCs/>
    </w:rPr>
  </w:style>
  <w:style w:type="character" w:customStyle="1" w:styleId="59">
    <w:name w:val="Subtle Reference"/>
    <w:qFormat/>
    <w:uiPriority w:val="31"/>
    <w:rPr>
      <w:smallCaps/>
    </w:rPr>
  </w:style>
  <w:style w:type="character" w:customStyle="1" w:styleId="60">
    <w:name w:val="Intense Reference"/>
    <w:qFormat/>
    <w:uiPriority w:val="32"/>
    <w:rPr>
      <w:b/>
      <w:bCs/>
      <w:smallCaps/>
    </w:rPr>
  </w:style>
  <w:style w:type="character" w:customStyle="1" w:styleId="61">
    <w:name w:val="Book Title"/>
    <w:qFormat/>
    <w:uiPriority w:val="33"/>
    <w:rPr>
      <w:i/>
      <w:iCs/>
      <w:smallCaps/>
      <w:spacing w:val="5"/>
    </w:rPr>
  </w:style>
  <w:style w:type="paragraph" w:customStyle="1" w:styleId="62">
    <w:name w:val="TOC Heading"/>
    <w:basedOn w:val="2"/>
    <w:next w:val="1"/>
    <w:qFormat/>
    <w:uiPriority w:val="39"/>
    <w:pPr>
      <w:outlineLvl w:val="9"/>
    </w:pPr>
    <w:rPr>
      <w:lang w:bidi="en-US"/>
    </w:rPr>
  </w:style>
  <w:style w:type="character" w:customStyle="1" w:styleId="63">
    <w:name w:val="Header Char"/>
    <w:basedOn w:val="11"/>
    <w:link w:val="27"/>
    <w:qFormat/>
    <w:uiPriority w:val="99"/>
  </w:style>
  <w:style w:type="character" w:customStyle="1" w:styleId="64">
    <w:name w:val="Footer Char"/>
    <w:basedOn w:val="11"/>
    <w:link w:val="24"/>
    <w:qFormat/>
    <w:uiPriority w:val="99"/>
  </w:style>
  <w:style w:type="paragraph" w:customStyle="1" w:styleId="65">
    <w:name w:val="t-9-8"/>
    <w:basedOn w:val="1"/>
    <w:qFormat/>
    <w:uiPriority w:val="0"/>
    <w:pPr>
      <w:spacing w:before="100" w:beforeAutospacing="1" w:after="100" w:afterAutospacing="1" w:line="240" w:lineRule="auto"/>
    </w:pPr>
    <w:rPr>
      <w:rFonts w:ascii="Times New Roman" w:hAnsi="Times New Roman"/>
      <w:szCs w:val="24"/>
    </w:rPr>
  </w:style>
  <w:style w:type="paragraph" w:customStyle="1" w:styleId="66">
    <w:name w:val="ZZJGZ NASLOV"/>
    <w:basedOn w:val="1"/>
    <w:next w:val="1"/>
    <w:autoRedefine/>
    <w:qFormat/>
    <w:uiPriority w:val="0"/>
    <w:pPr>
      <w:spacing w:after="0" w:line="240" w:lineRule="auto"/>
      <w:jc w:val="center"/>
    </w:pPr>
    <w:rPr>
      <w:rFonts w:ascii="Times New Roman" w:hAnsi="Times New Roman"/>
      <w:b/>
      <w:caps/>
      <w:sz w:val="28"/>
      <w:szCs w:val="24"/>
    </w:rPr>
  </w:style>
  <w:style w:type="paragraph" w:customStyle="1" w:styleId="67">
    <w:name w:val="T-9/8-2"/>
    <w:basedOn w:val="1"/>
    <w:qFormat/>
    <w:uiPriority w:val="0"/>
    <w:pPr>
      <w:widowControl w:val="0"/>
      <w:tabs>
        <w:tab w:val="left" w:pos="2153"/>
      </w:tabs>
      <w:autoSpaceDE w:val="0"/>
      <w:autoSpaceDN w:val="0"/>
      <w:adjustRightInd w:val="0"/>
      <w:spacing w:after="43" w:line="240" w:lineRule="auto"/>
      <w:ind w:firstLine="342"/>
    </w:pPr>
    <w:rPr>
      <w:rFonts w:ascii="Times-NewRoman" w:hAnsi="Times-NewRoman"/>
      <w:sz w:val="19"/>
      <w:szCs w:val="24"/>
      <w:lang w:val="en-US"/>
    </w:rPr>
  </w:style>
  <w:style w:type="paragraph" w:customStyle="1" w:styleId="68">
    <w:name w:val="Normal1"/>
    <w:basedOn w:val="1"/>
    <w:qFormat/>
    <w:uiPriority w:val="0"/>
    <w:pPr>
      <w:spacing w:line="260" w:lineRule="atLeast"/>
    </w:pPr>
    <w:rPr>
      <w:rFonts w:ascii="Arial" w:hAnsi="Arial" w:cs="Arial"/>
    </w:rPr>
  </w:style>
  <w:style w:type="paragraph" w:customStyle="1" w:styleId="69">
    <w:name w:val="list_0020paragraph"/>
    <w:basedOn w:val="1"/>
    <w:qFormat/>
    <w:uiPriority w:val="0"/>
    <w:pPr>
      <w:spacing w:after="0" w:line="240" w:lineRule="atLeast"/>
      <w:ind w:left="720"/>
    </w:pPr>
    <w:rPr>
      <w:rFonts w:ascii="Times New Roman" w:hAnsi="Times New Roman"/>
      <w:szCs w:val="24"/>
    </w:rPr>
  </w:style>
  <w:style w:type="character" w:customStyle="1" w:styleId="70">
    <w:name w:val="normal__char1"/>
    <w:uiPriority w:val="0"/>
    <w:rPr>
      <w:rFonts w:hint="default" w:ascii="Arial" w:hAnsi="Arial" w:cs="Arial"/>
      <w:sz w:val="22"/>
      <w:szCs w:val="22"/>
    </w:rPr>
  </w:style>
  <w:style w:type="character" w:customStyle="1" w:styleId="71">
    <w:name w:val="list_0020paragraph__char1"/>
    <w:qFormat/>
    <w:uiPriority w:val="0"/>
    <w:rPr>
      <w:rFonts w:hint="default" w:ascii="Times New Roman" w:hAnsi="Times New Roman" w:cs="Times New Roman"/>
      <w:sz w:val="24"/>
      <w:szCs w:val="24"/>
    </w:rPr>
  </w:style>
  <w:style w:type="paragraph" w:customStyle="1" w:styleId="72">
    <w:name w:val="Default"/>
    <w:qFormat/>
    <w:uiPriority w:val="0"/>
    <w:pPr>
      <w:autoSpaceDE w:val="0"/>
      <w:autoSpaceDN w:val="0"/>
      <w:adjustRightInd w:val="0"/>
    </w:pPr>
    <w:rPr>
      <w:rFonts w:ascii="Times New Roman" w:hAnsi="Times New Roman" w:eastAsia="Times New Roman" w:cs="Times New Roman"/>
      <w:color w:val="000000"/>
      <w:sz w:val="24"/>
      <w:szCs w:val="24"/>
      <w:lang w:val="hr-HR" w:eastAsia="hr-HR" w:bidi="ar-SA"/>
    </w:rPr>
  </w:style>
  <w:style w:type="paragraph" w:customStyle="1" w:styleId="73">
    <w:name w:val="normal2"/>
    <w:basedOn w:val="10"/>
    <w:qFormat/>
    <w:uiPriority w:val="0"/>
    <w:pPr>
      <w:keepNext/>
      <w:spacing w:line="240" w:lineRule="auto"/>
    </w:pPr>
    <w:rPr>
      <w:rFonts w:ascii="Tahoma" w:hAnsi="Tahoma"/>
      <w:b w:val="0"/>
      <w:bCs w:val="0"/>
      <w:i w:val="0"/>
      <w:iCs w:val="0"/>
      <w:color w:val="auto"/>
      <w:sz w:val="32"/>
      <w:szCs w:val="20"/>
    </w:rPr>
  </w:style>
  <w:style w:type="paragraph" w:customStyle="1" w:styleId="74">
    <w:name w:val="tb-na16"/>
    <w:basedOn w:val="1"/>
    <w:qFormat/>
    <w:uiPriority w:val="0"/>
    <w:pPr>
      <w:spacing w:before="100" w:beforeAutospacing="1" w:after="100" w:afterAutospacing="1" w:line="240" w:lineRule="auto"/>
    </w:pPr>
    <w:rPr>
      <w:rFonts w:ascii="Times New Roman" w:hAnsi="Times New Roman"/>
      <w:szCs w:val="24"/>
      <w:lang w:val="en-US" w:eastAsia="en-US"/>
    </w:rPr>
  </w:style>
  <w:style w:type="paragraph" w:customStyle="1" w:styleId="75">
    <w:name w:val="ZZJZGZ TEKST"/>
    <w:basedOn w:val="1"/>
    <w:link w:val="76"/>
    <w:autoRedefine/>
    <w:qFormat/>
    <w:uiPriority w:val="0"/>
    <w:pPr>
      <w:spacing w:after="0" w:line="240" w:lineRule="auto"/>
    </w:pPr>
    <w:rPr>
      <w:rFonts w:ascii="Times New Roman" w:hAnsi="Times New Roman"/>
      <w:szCs w:val="24"/>
    </w:rPr>
  </w:style>
  <w:style w:type="character" w:customStyle="1" w:styleId="76">
    <w:name w:val="ZZJZGZ TEKST Char2"/>
    <w:link w:val="75"/>
    <w:qFormat/>
    <w:uiPriority w:val="0"/>
    <w:rPr>
      <w:sz w:val="24"/>
      <w:szCs w:val="24"/>
      <w:lang w:val="hr-HR" w:eastAsia="hr-HR" w:bidi="ar-SA"/>
    </w:rPr>
  </w:style>
  <w:style w:type="paragraph" w:customStyle="1" w:styleId="77">
    <w:name w:val="xl65"/>
    <w:basedOn w:val="1"/>
    <w:qFormat/>
    <w:uiPriority w:val="0"/>
    <w:pPr>
      <w:pBdr>
        <w:top w:val="double" w:color="auto" w:sz="6" w:space="0"/>
        <w:left w:val="double" w:color="auto" w:sz="6" w:space="0"/>
        <w:bottom w:val="double" w:color="auto" w:sz="6" w:space="0"/>
        <w:right w:val="double" w:color="auto" w:sz="6" w:space="0"/>
      </w:pBdr>
      <w:shd w:val="clear" w:color="000000" w:fill="FF99CC"/>
      <w:spacing w:before="100" w:beforeAutospacing="1" w:after="100" w:afterAutospacing="1" w:line="240" w:lineRule="auto"/>
      <w:jc w:val="center"/>
      <w:textAlignment w:val="center"/>
    </w:pPr>
    <w:rPr>
      <w:rFonts w:ascii="Microsoft Sans Serif" w:hAnsi="Microsoft Sans Serif" w:cs="Microsoft Sans Serif"/>
      <w:b/>
      <w:bCs/>
      <w:szCs w:val="24"/>
    </w:rPr>
  </w:style>
  <w:style w:type="paragraph" w:customStyle="1" w:styleId="78">
    <w:name w:val="xl66"/>
    <w:basedOn w:val="1"/>
    <w:qFormat/>
    <w:uiPriority w:val="0"/>
    <w:pPr>
      <w:pBdr>
        <w:top w:val="single" w:color="auto" w:sz="4" w:space="0"/>
        <w:left w:val="double" w:color="auto" w:sz="6" w:space="0"/>
        <w:bottom w:val="single" w:color="auto" w:sz="4" w:space="0"/>
      </w:pBdr>
      <w:shd w:val="clear" w:color="000000" w:fill="FFCC99"/>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79">
    <w:name w:val="xl67"/>
    <w:basedOn w:val="1"/>
    <w:qFormat/>
    <w:uiPriority w:val="0"/>
    <w:pPr>
      <w:pBdr>
        <w:top w:val="single" w:color="auto" w:sz="4" w:space="0"/>
        <w:left w:val="double" w:color="auto" w:sz="6" w:space="0"/>
        <w:bottom w:val="single" w:color="auto" w:sz="4" w:space="0"/>
      </w:pBdr>
      <w:spacing w:before="100" w:beforeAutospacing="1" w:after="100" w:afterAutospacing="1" w:line="240" w:lineRule="auto"/>
      <w:jc w:val="right"/>
      <w:textAlignment w:val="center"/>
    </w:pPr>
    <w:rPr>
      <w:rFonts w:ascii="Microsoft Sans Serif" w:hAnsi="Microsoft Sans Serif" w:cs="Microsoft Sans Serif"/>
      <w:szCs w:val="24"/>
    </w:rPr>
  </w:style>
  <w:style w:type="paragraph" w:customStyle="1" w:styleId="80">
    <w:name w:val="xl68"/>
    <w:basedOn w:val="1"/>
    <w:qFormat/>
    <w:uiPriority w:val="0"/>
    <w:pPr>
      <w:pBdr>
        <w:top w:val="single" w:color="auto" w:sz="4" w:space="0"/>
        <w:left w:val="double" w:color="auto" w:sz="6" w:space="0"/>
        <w:bottom w:val="double" w:color="auto" w:sz="6" w:space="0"/>
      </w:pBdr>
      <w:shd w:val="clear" w:color="000000" w:fill="FF9900"/>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81">
    <w:name w:val="xl69"/>
    <w:basedOn w:val="1"/>
    <w:qFormat/>
    <w:uiPriority w:val="0"/>
    <w:pPr>
      <w:pBdr>
        <w:top w:val="single" w:color="auto" w:sz="4" w:space="0"/>
        <w:left w:val="double" w:color="auto" w:sz="6" w:space="0"/>
        <w:bottom w:val="single" w:color="auto" w:sz="4" w:space="0"/>
      </w:pBdr>
      <w:shd w:val="clear" w:color="000000" w:fill="FFFF99"/>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82">
    <w:name w:val="xl70"/>
    <w:basedOn w:val="1"/>
    <w:qFormat/>
    <w:uiPriority w:val="0"/>
    <w:pPr>
      <w:pBdr>
        <w:top w:val="single" w:color="auto" w:sz="4" w:space="0"/>
        <w:left w:val="double" w:color="auto" w:sz="6" w:space="0"/>
        <w:bottom w:val="single" w:color="auto" w:sz="4" w:space="0"/>
      </w:pBdr>
      <w:spacing w:before="100" w:beforeAutospacing="1" w:after="100" w:afterAutospacing="1" w:line="240" w:lineRule="auto"/>
      <w:jc w:val="right"/>
      <w:textAlignment w:val="center"/>
    </w:pPr>
    <w:rPr>
      <w:rFonts w:ascii="Microsoft Sans Serif" w:hAnsi="Microsoft Sans Serif" w:cs="Microsoft Sans Serif"/>
      <w:i/>
      <w:iCs/>
      <w:szCs w:val="24"/>
    </w:rPr>
  </w:style>
  <w:style w:type="paragraph" w:customStyle="1" w:styleId="83">
    <w:name w:val="xl71"/>
    <w:basedOn w:val="1"/>
    <w:qFormat/>
    <w:uiPriority w:val="0"/>
    <w:pPr>
      <w:pBdr>
        <w:left w:val="double" w:color="auto" w:sz="6" w:space="0"/>
        <w:bottom w:val="single" w:color="auto" w:sz="4" w:space="0"/>
      </w:pBdr>
      <w:shd w:val="clear" w:color="000000" w:fill="FF6600"/>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84">
    <w:name w:val="xl72"/>
    <w:basedOn w:val="1"/>
    <w:qFormat/>
    <w:uiPriority w:val="0"/>
    <w:pPr>
      <w:pBdr>
        <w:top w:val="double" w:color="auto" w:sz="6" w:space="0"/>
        <w:left w:val="double" w:color="auto" w:sz="6" w:space="0"/>
        <w:bottom w:val="double" w:color="auto" w:sz="6" w:space="0"/>
      </w:pBdr>
      <w:shd w:val="clear" w:color="000000" w:fill="FFCC00"/>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85">
    <w:name w:val="xl73"/>
    <w:basedOn w:val="1"/>
    <w:qFormat/>
    <w:uiPriority w:val="0"/>
    <w:pPr>
      <w:pBdr>
        <w:left w:val="double" w:color="auto" w:sz="6" w:space="0"/>
        <w:bottom w:val="single" w:color="auto" w:sz="4" w:space="0"/>
      </w:pBdr>
      <w:shd w:val="clear" w:color="000000" w:fill="FFCC99"/>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86">
    <w:name w:val="xl74"/>
    <w:basedOn w:val="1"/>
    <w:qFormat/>
    <w:uiPriority w:val="0"/>
    <w:pPr>
      <w:pBdr>
        <w:top w:val="single" w:color="auto" w:sz="4" w:space="0"/>
        <w:left w:val="double" w:color="auto" w:sz="6" w:space="0"/>
        <w:bottom w:val="double" w:color="auto" w:sz="6" w:space="0"/>
      </w:pBdr>
      <w:shd w:val="clear" w:color="000000" w:fill="FFCC00"/>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87">
    <w:name w:val="xl75"/>
    <w:basedOn w:val="1"/>
    <w:qFormat/>
    <w:uiPriority w:val="0"/>
    <w:pPr>
      <w:pBdr>
        <w:top w:val="single" w:color="auto" w:sz="4" w:space="0"/>
        <w:left w:val="double" w:color="auto" w:sz="6" w:space="0"/>
        <w:bottom w:val="double" w:color="auto" w:sz="6" w:space="0"/>
      </w:pBdr>
      <w:spacing w:before="100" w:beforeAutospacing="1" w:after="100" w:afterAutospacing="1" w:line="240" w:lineRule="auto"/>
      <w:jc w:val="right"/>
      <w:textAlignment w:val="center"/>
    </w:pPr>
    <w:rPr>
      <w:rFonts w:ascii="Microsoft Sans Serif" w:hAnsi="Microsoft Sans Serif" w:cs="Microsoft Sans Serif"/>
      <w:szCs w:val="24"/>
    </w:rPr>
  </w:style>
  <w:style w:type="paragraph" w:customStyle="1" w:styleId="88">
    <w:name w:val="xl76"/>
    <w:basedOn w:val="1"/>
    <w:qFormat/>
    <w:uiPriority w:val="0"/>
    <w:pPr>
      <w:pBdr>
        <w:top w:val="single" w:color="auto" w:sz="4" w:space="0"/>
        <w:left w:val="double" w:color="auto" w:sz="6" w:space="0"/>
        <w:bottom w:val="single" w:color="auto" w:sz="4" w:space="0"/>
        <w:right w:val="double" w:color="auto" w:sz="6" w:space="0"/>
      </w:pBdr>
      <w:spacing w:before="100" w:beforeAutospacing="1" w:after="100" w:afterAutospacing="1" w:line="240" w:lineRule="auto"/>
      <w:jc w:val="right"/>
      <w:textAlignment w:val="center"/>
    </w:pPr>
    <w:rPr>
      <w:rFonts w:ascii="Microsoft Sans Serif" w:hAnsi="Microsoft Sans Serif" w:cs="Microsoft Sans Serif"/>
      <w:szCs w:val="24"/>
    </w:rPr>
  </w:style>
  <w:style w:type="paragraph" w:customStyle="1" w:styleId="89">
    <w:name w:val="xl77"/>
    <w:basedOn w:val="1"/>
    <w:qFormat/>
    <w:uiPriority w:val="0"/>
    <w:pPr>
      <w:pBdr>
        <w:top w:val="single" w:color="auto" w:sz="4" w:space="0"/>
        <w:left w:val="double" w:color="auto" w:sz="6" w:space="0"/>
        <w:bottom w:val="single" w:color="auto" w:sz="4" w:space="0"/>
        <w:right w:val="double" w:color="auto" w:sz="6" w:space="0"/>
      </w:pBdr>
      <w:spacing w:before="100" w:beforeAutospacing="1" w:after="100" w:afterAutospacing="1" w:line="240" w:lineRule="auto"/>
      <w:jc w:val="right"/>
      <w:textAlignment w:val="center"/>
    </w:pPr>
    <w:rPr>
      <w:rFonts w:ascii="Microsoft Sans Serif" w:hAnsi="Microsoft Sans Serif" w:cs="Microsoft Sans Serif"/>
      <w:szCs w:val="24"/>
    </w:rPr>
  </w:style>
  <w:style w:type="paragraph" w:customStyle="1" w:styleId="90">
    <w:name w:val="xl78"/>
    <w:basedOn w:val="1"/>
    <w:qFormat/>
    <w:uiPriority w:val="0"/>
    <w:pPr>
      <w:pBdr>
        <w:top w:val="single" w:color="auto" w:sz="4" w:space="0"/>
        <w:left w:val="double" w:color="auto" w:sz="6" w:space="0"/>
        <w:bottom w:val="single" w:color="auto" w:sz="4" w:space="0"/>
        <w:right w:val="double" w:color="auto" w:sz="6" w:space="0"/>
      </w:pBdr>
      <w:shd w:val="clear" w:color="000000" w:fill="FFCC99"/>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91">
    <w:name w:val="xl79"/>
    <w:basedOn w:val="1"/>
    <w:qFormat/>
    <w:uiPriority w:val="0"/>
    <w:pP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92">
    <w:name w:val="xl80"/>
    <w:basedOn w:val="1"/>
    <w:qFormat/>
    <w:uiPriority w:val="0"/>
    <w:pPr>
      <w:spacing w:before="100" w:beforeAutospacing="1" w:after="100" w:afterAutospacing="1" w:line="240" w:lineRule="auto"/>
      <w:jc w:val="right"/>
      <w:textAlignment w:val="center"/>
    </w:pPr>
    <w:rPr>
      <w:rFonts w:ascii="Microsoft Sans Serif" w:hAnsi="Microsoft Sans Serif" w:cs="Microsoft Sans Serif"/>
      <w:szCs w:val="24"/>
    </w:rPr>
  </w:style>
  <w:style w:type="paragraph" w:customStyle="1" w:styleId="93">
    <w:name w:val="xl81"/>
    <w:basedOn w:val="1"/>
    <w:qFormat/>
    <w:uiPriority w:val="0"/>
    <w:pP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94">
    <w:name w:val="xl82"/>
    <w:basedOn w:val="1"/>
    <w:qFormat/>
    <w:uiPriority w:val="0"/>
    <w:pPr>
      <w:pBdr>
        <w:top w:val="single" w:color="auto" w:sz="4" w:space="0"/>
        <w:left w:val="double" w:color="auto" w:sz="6" w:space="0"/>
        <w:bottom w:val="single" w:color="auto" w:sz="4" w:space="0"/>
        <w:right w:val="double" w:color="auto" w:sz="6"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95">
    <w:name w:val="xl83"/>
    <w:basedOn w:val="1"/>
    <w:qFormat/>
    <w:uiPriority w:val="0"/>
    <w:pPr>
      <w:pBdr>
        <w:top w:val="single" w:color="auto" w:sz="4" w:space="0"/>
        <w:left w:val="double" w:color="auto" w:sz="6" w:space="0"/>
        <w:bottom w:val="single" w:color="auto" w:sz="4" w:space="0"/>
        <w:right w:val="double" w:color="auto" w:sz="6"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96">
    <w:name w:val="xl84"/>
    <w:basedOn w:val="1"/>
    <w:qFormat/>
    <w:uiPriority w:val="0"/>
    <w:pPr>
      <w:pBdr>
        <w:top w:val="single" w:color="auto" w:sz="4" w:space="0"/>
        <w:left w:val="double" w:color="auto" w:sz="6" w:space="0"/>
        <w:bottom w:val="single" w:color="auto" w:sz="4"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97">
    <w:name w:val="xl85"/>
    <w:basedOn w:val="1"/>
    <w:qFormat/>
    <w:uiPriority w:val="0"/>
    <w:pPr>
      <w:pBdr>
        <w:top w:val="single" w:color="auto" w:sz="4" w:space="0"/>
        <w:left w:val="double" w:color="auto" w:sz="6" w:space="0"/>
        <w:bottom w:val="single" w:color="auto" w:sz="4" w:space="0"/>
      </w:pBdr>
      <w:shd w:val="clear" w:color="000000" w:fill="FFFF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98">
    <w:name w:val="xl86"/>
    <w:basedOn w:val="1"/>
    <w:qFormat/>
    <w:uiPriority w:val="0"/>
    <w:pPr>
      <w:pBdr>
        <w:top w:val="single" w:color="auto" w:sz="4" w:space="0"/>
        <w:left w:val="double" w:color="auto" w:sz="6" w:space="0"/>
        <w:bottom w:val="double" w:color="auto" w:sz="6"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99">
    <w:name w:val="xl87"/>
    <w:basedOn w:val="1"/>
    <w:qFormat/>
    <w:uiPriority w:val="0"/>
    <w:pPr>
      <w:pBdr>
        <w:top w:val="double" w:color="auto" w:sz="6" w:space="0"/>
        <w:left w:val="double" w:color="auto" w:sz="6" w:space="0"/>
        <w:bottom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0">
    <w:name w:val="xl88"/>
    <w:basedOn w:val="1"/>
    <w:qFormat/>
    <w:uiPriority w:val="0"/>
    <w:pPr>
      <w:pBdr>
        <w:top w:val="single" w:color="auto" w:sz="4" w:space="0"/>
        <w:left w:val="double" w:color="auto" w:sz="6" w:space="0"/>
        <w:bottom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1">
    <w:name w:val="xl89"/>
    <w:basedOn w:val="1"/>
    <w:qFormat/>
    <w:uiPriority w:val="0"/>
    <w:pPr>
      <w:pBdr>
        <w:top w:val="single" w:color="auto" w:sz="4" w:space="0"/>
        <w:left w:val="double" w:color="auto" w:sz="6" w:space="0"/>
        <w:bottom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2">
    <w:name w:val="xl90"/>
    <w:basedOn w:val="1"/>
    <w:qFormat/>
    <w:uiPriority w:val="0"/>
    <w:pPr>
      <w:pBdr>
        <w:top w:val="single" w:color="auto" w:sz="4" w:space="0"/>
        <w:left w:val="double" w:color="auto" w:sz="6" w:space="0"/>
        <w:bottom w:val="double" w:color="auto" w:sz="6" w:space="0"/>
        <w:right w:val="double" w:color="auto" w:sz="6"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03">
    <w:name w:val="xl91"/>
    <w:basedOn w:val="1"/>
    <w:qFormat/>
    <w:uiPriority w:val="0"/>
    <w:pPr>
      <w:pBdr>
        <w:left w:val="double" w:color="auto" w:sz="6" w:space="0"/>
        <w:bottom w:val="single" w:color="auto" w:sz="4"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4">
    <w:name w:val="xl92"/>
    <w:basedOn w:val="1"/>
    <w:qFormat/>
    <w:uiPriority w:val="0"/>
    <w:pP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05">
    <w:name w:val="xl93"/>
    <w:basedOn w:val="1"/>
    <w:qFormat/>
    <w:uiPriority w:val="0"/>
    <w:pPr>
      <w:pBdr>
        <w:top w:val="single" w:color="auto" w:sz="4" w:space="0"/>
        <w:left w:val="double" w:color="auto" w:sz="6" w:space="0"/>
        <w:bottom w:val="single" w:color="auto" w:sz="4" w:space="0"/>
        <w:right w:val="double" w:color="auto" w:sz="6"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6">
    <w:name w:val="xl94"/>
    <w:basedOn w:val="1"/>
    <w:qFormat/>
    <w:uiPriority w:val="0"/>
    <w:pPr>
      <w:pBdr>
        <w:left w:val="double" w:color="auto" w:sz="6" w:space="0"/>
        <w:bottom w:val="single" w:color="auto" w:sz="4" w:space="0"/>
      </w:pBdr>
      <w:shd w:val="clear" w:color="000000" w:fill="FF66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7">
    <w:name w:val="xl95"/>
    <w:basedOn w:val="1"/>
    <w:qFormat/>
    <w:uiPriority w:val="0"/>
    <w:pPr>
      <w:pBdr>
        <w:top w:val="single" w:color="auto" w:sz="4" w:space="0"/>
        <w:left w:val="double" w:color="auto" w:sz="6" w:space="0"/>
        <w:bottom w:val="single" w:color="auto" w:sz="4"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08">
    <w:name w:val="xl96"/>
    <w:basedOn w:val="1"/>
    <w:qFormat/>
    <w:uiPriority w:val="0"/>
    <w:pPr>
      <w:pBdr>
        <w:top w:val="single" w:color="auto" w:sz="4" w:space="0"/>
        <w:left w:val="double" w:color="auto" w:sz="6" w:space="0"/>
        <w:bottom w:val="single" w:color="auto" w:sz="4" w:space="0"/>
      </w:pBdr>
      <w:spacing w:before="100" w:beforeAutospacing="1" w:after="100" w:afterAutospacing="1" w:line="240" w:lineRule="auto"/>
      <w:textAlignment w:val="center"/>
    </w:pPr>
    <w:rPr>
      <w:rFonts w:ascii="Microsoft Sans Serif" w:hAnsi="Microsoft Sans Serif" w:cs="Microsoft Sans Serif"/>
      <w:i/>
      <w:iCs/>
      <w:szCs w:val="24"/>
    </w:rPr>
  </w:style>
  <w:style w:type="paragraph" w:customStyle="1" w:styleId="109">
    <w:name w:val="xl97"/>
    <w:basedOn w:val="1"/>
    <w:qFormat/>
    <w:uiPriority w:val="0"/>
    <w:pPr>
      <w:pBdr>
        <w:top w:val="single" w:color="auto" w:sz="4" w:space="0"/>
        <w:left w:val="double" w:color="auto" w:sz="6" w:space="0"/>
        <w:bottom w:val="single" w:color="auto" w:sz="4"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10">
    <w:name w:val="xl98"/>
    <w:basedOn w:val="1"/>
    <w:qFormat/>
    <w:uiPriority w:val="0"/>
    <w:pPr>
      <w:pBdr>
        <w:top w:val="double" w:color="auto" w:sz="6" w:space="0"/>
        <w:left w:val="double" w:color="auto" w:sz="6" w:space="0"/>
        <w:bottom w:val="double" w:color="auto" w:sz="6" w:space="0"/>
      </w:pBdr>
      <w:shd w:val="clear" w:color="000000" w:fill="FF99CC"/>
      <w:spacing w:before="100" w:beforeAutospacing="1" w:after="100" w:afterAutospacing="1" w:line="240" w:lineRule="auto"/>
      <w:jc w:val="center"/>
      <w:textAlignment w:val="center"/>
    </w:pPr>
    <w:rPr>
      <w:rFonts w:ascii="Microsoft Sans Serif" w:hAnsi="Microsoft Sans Serif" w:cs="Microsoft Sans Serif"/>
      <w:b/>
      <w:bCs/>
      <w:szCs w:val="24"/>
    </w:rPr>
  </w:style>
  <w:style w:type="paragraph" w:customStyle="1" w:styleId="111">
    <w:name w:val="xl99"/>
    <w:basedOn w:val="1"/>
    <w:qFormat/>
    <w:uiPriority w:val="0"/>
    <w:pPr>
      <w:pBdr>
        <w:top w:val="double" w:color="auto" w:sz="6" w:space="0"/>
        <w:bottom w:val="double" w:color="auto" w:sz="6" w:space="0"/>
      </w:pBdr>
      <w:shd w:val="clear" w:color="000000" w:fill="FF99CC"/>
      <w:spacing w:before="100" w:beforeAutospacing="1" w:after="100" w:afterAutospacing="1" w:line="240" w:lineRule="auto"/>
      <w:jc w:val="center"/>
      <w:textAlignment w:val="center"/>
    </w:pPr>
    <w:rPr>
      <w:rFonts w:ascii="Microsoft Sans Serif" w:hAnsi="Microsoft Sans Serif" w:cs="Microsoft Sans Serif"/>
      <w:b/>
      <w:bCs/>
      <w:szCs w:val="24"/>
    </w:rPr>
  </w:style>
  <w:style w:type="paragraph" w:customStyle="1" w:styleId="112">
    <w:name w:val="xl100"/>
    <w:basedOn w:val="1"/>
    <w:qFormat/>
    <w:uiPriority w:val="0"/>
    <w:pPr>
      <w:pBdr>
        <w:top w:val="double" w:color="auto" w:sz="6" w:space="0"/>
        <w:left w:val="double" w:color="auto" w:sz="6" w:space="0"/>
        <w:bottom w:val="double" w:color="auto" w:sz="6" w:space="0"/>
        <w:right w:val="double" w:color="auto" w:sz="6" w:space="0"/>
      </w:pBdr>
      <w:shd w:val="clear" w:color="000000" w:fill="FF99CC"/>
      <w:spacing w:before="100" w:beforeAutospacing="1" w:after="100" w:afterAutospacing="1" w:line="240" w:lineRule="auto"/>
      <w:jc w:val="center"/>
      <w:textAlignment w:val="center"/>
    </w:pPr>
    <w:rPr>
      <w:rFonts w:ascii="Microsoft Sans Serif" w:hAnsi="Microsoft Sans Serif" w:cs="Microsoft Sans Serif"/>
      <w:b/>
      <w:bCs/>
      <w:szCs w:val="24"/>
    </w:rPr>
  </w:style>
  <w:style w:type="paragraph" w:customStyle="1" w:styleId="113">
    <w:name w:val="xl101"/>
    <w:basedOn w:val="1"/>
    <w:qFormat/>
    <w:uiPriority w:val="0"/>
    <w:pPr>
      <w:pBdr>
        <w:top w:val="double" w:color="auto" w:sz="6" w:space="0"/>
        <w:bottom w:val="double" w:color="auto" w:sz="6" w:space="0"/>
        <w:right w:val="double" w:color="auto" w:sz="6" w:space="0"/>
      </w:pBdr>
      <w:shd w:val="clear" w:color="000000" w:fill="FF99CC"/>
      <w:spacing w:before="100" w:beforeAutospacing="1" w:after="100" w:afterAutospacing="1" w:line="240" w:lineRule="auto"/>
      <w:jc w:val="center"/>
      <w:textAlignment w:val="center"/>
    </w:pPr>
    <w:rPr>
      <w:rFonts w:ascii="Microsoft Sans Serif" w:hAnsi="Microsoft Sans Serif" w:cs="Microsoft Sans Serif"/>
      <w:b/>
      <w:bCs/>
      <w:szCs w:val="24"/>
    </w:rPr>
  </w:style>
  <w:style w:type="paragraph" w:customStyle="1" w:styleId="114">
    <w:name w:val="xl102"/>
    <w:basedOn w:val="1"/>
    <w:qFormat/>
    <w:uiPriority w:val="0"/>
    <w:pPr>
      <w:pBdr>
        <w:top w:val="single" w:color="auto" w:sz="4" w:space="0"/>
        <w:left w:val="double" w:color="auto" w:sz="6" w:space="0"/>
      </w:pBdr>
      <w:shd w:val="clear" w:color="000000" w:fill="FF9900"/>
      <w:spacing w:before="100" w:beforeAutospacing="1" w:after="100" w:afterAutospacing="1" w:line="240" w:lineRule="auto"/>
      <w:jc w:val="right"/>
      <w:textAlignment w:val="center"/>
    </w:pPr>
    <w:rPr>
      <w:rFonts w:ascii="Microsoft Sans Serif" w:hAnsi="Microsoft Sans Serif" w:cs="Microsoft Sans Serif"/>
      <w:b/>
      <w:bCs/>
      <w:szCs w:val="24"/>
    </w:rPr>
  </w:style>
  <w:style w:type="paragraph" w:customStyle="1" w:styleId="115">
    <w:name w:val="xl103"/>
    <w:basedOn w:val="1"/>
    <w:qFormat/>
    <w:uiPriority w:val="0"/>
    <w:pPr>
      <w:pBdr>
        <w:top w:val="single" w:color="auto" w:sz="4" w:space="0"/>
        <w:left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16">
    <w:name w:val="xl104"/>
    <w:basedOn w:val="1"/>
    <w:qFormat/>
    <w:uiPriority w:val="0"/>
    <w:pPr>
      <w:pBdr>
        <w:top w:val="double" w:color="auto" w:sz="6" w:space="0"/>
        <w:left w:val="double" w:color="auto" w:sz="6" w:space="0"/>
        <w:bottom w:val="single" w:color="auto" w:sz="4" w:space="0"/>
        <w:right w:val="double" w:color="auto" w:sz="6" w:space="0"/>
      </w:pBdr>
      <w:shd w:val="clear" w:color="000000" w:fill="FF66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17">
    <w:name w:val="xl105"/>
    <w:basedOn w:val="1"/>
    <w:qFormat/>
    <w:uiPriority w:val="0"/>
    <w:pPr>
      <w:pBdr>
        <w:top w:val="single" w:color="auto" w:sz="4" w:space="0"/>
        <w:left w:val="double" w:color="auto" w:sz="6" w:space="0"/>
        <w:right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18">
    <w:name w:val="xl106"/>
    <w:basedOn w:val="1"/>
    <w:qFormat/>
    <w:uiPriority w:val="0"/>
    <w:pPr>
      <w:pBdr>
        <w:top w:val="double" w:color="auto" w:sz="6" w:space="0"/>
        <w:left w:val="double" w:color="auto" w:sz="6" w:space="0"/>
        <w:bottom w:val="double" w:color="auto" w:sz="6" w:space="0"/>
        <w:right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19">
    <w:name w:val="xl107"/>
    <w:basedOn w:val="1"/>
    <w:qFormat/>
    <w:uiPriority w:val="0"/>
    <w:pPr>
      <w:pBdr>
        <w:left w:val="double" w:color="auto" w:sz="6" w:space="0"/>
        <w:bottom w:val="single" w:color="auto" w:sz="4" w:space="0"/>
        <w:right w:val="double" w:color="auto" w:sz="6"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0">
    <w:name w:val="xl108"/>
    <w:basedOn w:val="1"/>
    <w:qFormat/>
    <w:uiPriority w:val="0"/>
    <w:pPr>
      <w:pBdr>
        <w:top w:val="single" w:color="auto" w:sz="4" w:space="0"/>
        <w:left w:val="double" w:color="auto" w:sz="6" w:space="0"/>
        <w:bottom w:val="double" w:color="auto" w:sz="6" w:space="0"/>
        <w:right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1">
    <w:name w:val="xl109"/>
    <w:basedOn w:val="1"/>
    <w:qFormat/>
    <w:uiPriority w:val="0"/>
    <w:pPr>
      <w:pBdr>
        <w:top w:val="single" w:color="auto" w:sz="4" w:space="0"/>
        <w:left w:val="double" w:color="auto" w:sz="6" w:space="0"/>
        <w:bottom w:val="double" w:color="auto" w:sz="6" w:space="0"/>
        <w:right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2">
    <w:name w:val="xl110"/>
    <w:basedOn w:val="1"/>
    <w:qFormat/>
    <w:uiPriority w:val="0"/>
    <w:pPr>
      <w:pBdr>
        <w:top w:val="single" w:color="auto" w:sz="4" w:space="0"/>
        <w:left w:val="double" w:color="auto" w:sz="6" w:space="0"/>
        <w:bottom w:val="single" w:color="auto" w:sz="4" w:space="0"/>
        <w:right w:val="double" w:color="auto" w:sz="6" w:space="0"/>
      </w:pBdr>
      <w:shd w:val="clear" w:color="000000" w:fill="FFFF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3">
    <w:name w:val="xl111"/>
    <w:basedOn w:val="1"/>
    <w:qFormat/>
    <w:uiPriority w:val="0"/>
    <w:pPr>
      <w:pBdr>
        <w:top w:val="single" w:color="auto" w:sz="4" w:space="0"/>
        <w:left w:val="double" w:color="auto" w:sz="6" w:space="0"/>
        <w:bottom w:val="single" w:color="auto" w:sz="4" w:space="0"/>
        <w:right w:val="double" w:color="auto" w:sz="6" w:space="0"/>
      </w:pBdr>
      <w:spacing w:before="100" w:beforeAutospacing="1" w:after="100" w:afterAutospacing="1" w:line="240" w:lineRule="auto"/>
      <w:textAlignment w:val="center"/>
    </w:pPr>
    <w:rPr>
      <w:rFonts w:ascii="Microsoft Sans Serif" w:hAnsi="Microsoft Sans Serif" w:cs="Microsoft Sans Serif"/>
      <w:i/>
      <w:iCs/>
      <w:szCs w:val="24"/>
    </w:rPr>
  </w:style>
  <w:style w:type="paragraph" w:customStyle="1" w:styleId="124">
    <w:name w:val="xl112"/>
    <w:basedOn w:val="1"/>
    <w:qFormat/>
    <w:uiPriority w:val="0"/>
    <w:pPr>
      <w:pBdr>
        <w:bottom w:val="single" w:color="auto" w:sz="4" w:space="0"/>
      </w:pBdr>
      <w:shd w:val="clear" w:color="000000" w:fill="FF66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5">
    <w:name w:val="xl113"/>
    <w:basedOn w:val="1"/>
    <w:qFormat/>
    <w:uiPriority w:val="0"/>
    <w:pPr>
      <w:pBdr>
        <w:top w:val="single" w:color="auto" w:sz="4"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6">
    <w:name w:val="xl114"/>
    <w:basedOn w:val="1"/>
    <w:qFormat/>
    <w:uiPriority w:val="0"/>
    <w:pPr>
      <w:pBdr>
        <w:top w:val="double" w:color="auto" w:sz="6" w:space="0"/>
        <w:bottom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7">
    <w:name w:val="xl115"/>
    <w:basedOn w:val="1"/>
    <w:qFormat/>
    <w:uiPriority w:val="0"/>
    <w:pPr>
      <w:pBdr>
        <w:bottom w:val="single" w:color="auto" w:sz="4"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28">
    <w:name w:val="xl116"/>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29">
    <w:name w:val="xl117"/>
    <w:basedOn w:val="1"/>
    <w:qFormat/>
    <w:uiPriority w:val="0"/>
    <w:pPr>
      <w:pBdr>
        <w:top w:val="single" w:color="auto" w:sz="4" w:space="0"/>
        <w:bottom w:val="single" w:color="auto" w:sz="4"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0">
    <w:name w:val="xl118"/>
    <w:basedOn w:val="1"/>
    <w:qFormat/>
    <w:uiPriority w:val="0"/>
    <w:pPr>
      <w:pBdr>
        <w:top w:val="single" w:color="auto" w:sz="4" w:space="0"/>
        <w:bottom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1">
    <w:name w:val="xl119"/>
    <w:basedOn w:val="1"/>
    <w:qFormat/>
    <w:uiPriority w:val="0"/>
    <w:pPr>
      <w:pBdr>
        <w:top w:val="single" w:color="auto" w:sz="4" w:space="0"/>
        <w:bottom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2">
    <w:name w:val="xl120"/>
    <w:basedOn w:val="1"/>
    <w:qFormat/>
    <w:uiPriority w:val="0"/>
    <w:pPr>
      <w:pBdr>
        <w:top w:val="single" w:color="auto" w:sz="4" w:space="0"/>
        <w:bottom w:val="single" w:color="auto" w:sz="4" w:space="0"/>
      </w:pBdr>
      <w:shd w:val="clear" w:color="000000" w:fill="FFFF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3">
    <w:name w:val="xl121"/>
    <w:basedOn w:val="1"/>
    <w:qFormat/>
    <w:uiPriority w:val="0"/>
    <w:pPr>
      <w:pBdr>
        <w:top w:val="double" w:color="auto" w:sz="6" w:space="0"/>
        <w:left w:val="double" w:color="auto" w:sz="6" w:space="0"/>
        <w:bottom w:val="single" w:color="auto" w:sz="4" w:space="0"/>
        <w:right w:val="double" w:color="auto" w:sz="6" w:space="0"/>
      </w:pBdr>
      <w:shd w:val="clear" w:color="000000" w:fill="FF66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4">
    <w:name w:val="xl122"/>
    <w:basedOn w:val="1"/>
    <w:qFormat/>
    <w:uiPriority w:val="0"/>
    <w:pPr>
      <w:pBdr>
        <w:top w:val="single" w:color="auto" w:sz="4" w:space="0"/>
        <w:left w:val="double" w:color="auto" w:sz="6" w:space="0"/>
        <w:right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5">
    <w:name w:val="xl123"/>
    <w:basedOn w:val="1"/>
    <w:qFormat/>
    <w:uiPriority w:val="0"/>
    <w:pPr>
      <w:pBdr>
        <w:top w:val="double" w:color="auto" w:sz="6" w:space="0"/>
        <w:left w:val="double" w:color="auto" w:sz="6" w:space="0"/>
        <w:bottom w:val="double" w:color="auto" w:sz="6" w:space="0"/>
        <w:right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6">
    <w:name w:val="xl124"/>
    <w:basedOn w:val="1"/>
    <w:qFormat/>
    <w:uiPriority w:val="0"/>
    <w:pPr>
      <w:pBdr>
        <w:left w:val="double" w:color="auto" w:sz="6" w:space="0"/>
        <w:bottom w:val="single" w:color="auto" w:sz="4" w:space="0"/>
        <w:right w:val="double" w:color="auto" w:sz="6" w:space="0"/>
      </w:pBdr>
      <w:shd w:val="clear" w:color="000000" w:fill="FFCC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7">
    <w:name w:val="xl125"/>
    <w:basedOn w:val="1"/>
    <w:qFormat/>
    <w:uiPriority w:val="0"/>
    <w:pPr>
      <w:pBdr>
        <w:top w:val="single" w:color="auto" w:sz="4" w:space="0"/>
        <w:left w:val="double" w:color="auto" w:sz="6" w:space="0"/>
        <w:bottom w:val="single" w:color="auto" w:sz="4" w:space="0"/>
        <w:right w:val="double" w:color="auto" w:sz="6"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38">
    <w:name w:val="xl126"/>
    <w:basedOn w:val="1"/>
    <w:qFormat/>
    <w:uiPriority w:val="0"/>
    <w:pPr>
      <w:pBdr>
        <w:top w:val="single" w:color="auto" w:sz="4" w:space="0"/>
        <w:left w:val="double" w:color="auto" w:sz="6" w:space="0"/>
        <w:bottom w:val="double" w:color="auto" w:sz="6" w:space="0"/>
        <w:right w:val="double" w:color="auto" w:sz="6" w:space="0"/>
      </w:pBdr>
      <w:shd w:val="clear" w:color="000000" w:fill="FFCC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39">
    <w:name w:val="xl127"/>
    <w:basedOn w:val="1"/>
    <w:qFormat/>
    <w:uiPriority w:val="0"/>
    <w:pPr>
      <w:pBdr>
        <w:top w:val="single" w:color="auto" w:sz="4" w:space="0"/>
        <w:left w:val="double" w:color="auto" w:sz="6" w:space="0"/>
        <w:bottom w:val="double" w:color="auto" w:sz="6" w:space="0"/>
        <w:right w:val="double" w:color="auto" w:sz="6" w:space="0"/>
      </w:pBdr>
      <w:shd w:val="clear" w:color="000000" w:fill="FF9900"/>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40">
    <w:name w:val="xl128"/>
    <w:basedOn w:val="1"/>
    <w:qFormat/>
    <w:uiPriority w:val="0"/>
    <w:pPr>
      <w:pBdr>
        <w:top w:val="single" w:color="auto" w:sz="4" w:space="0"/>
        <w:left w:val="double" w:color="auto" w:sz="6" w:space="0"/>
        <w:bottom w:val="single" w:color="auto" w:sz="4" w:space="0"/>
        <w:right w:val="double" w:color="auto" w:sz="6" w:space="0"/>
      </w:pBdr>
      <w:shd w:val="clear" w:color="000000" w:fill="FFFF99"/>
      <w:spacing w:before="100" w:beforeAutospacing="1" w:after="100" w:afterAutospacing="1" w:line="240" w:lineRule="auto"/>
      <w:textAlignment w:val="center"/>
    </w:pPr>
    <w:rPr>
      <w:rFonts w:ascii="Microsoft Sans Serif" w:hAnsi="Microsoft Sans Serif" w:cs="Microsoft Sans Serif"/>
      <w:b/>
      <w:bCs/>
      <w:szCs w:val="24"/>
    </w:rPr>
  </w:style>
  <w:style w:type="paragraph" w:customStyle="1" w:styleId="141">
    <w:name w:val="xl129"/>
    <w:basedOn w:val="1"/>
    <w:qFormat/>
    <w:uiPriority w:val="0"/>
    <w:pPr>
      <w:pBdr>
        <w:top w:val="single" w:color="auto" w:sz="4" w:space="0"/>
        <w:left w:val="double" w:color="auto" w:sz="6" w:space="0"/>
        <w:bottom w:val="double" w:color="auto" w:sz="6" w:space="0"/>
        <w:right w:val="double" w:color="auto" w:sz="6"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42">
    <w:name w:val="xl130"/>
    <w:basedOn w:val="1"/>
    <w:qFormat/>
    <w:uiPriority w:val="0"/>
    <w:pPr>
      <w:pBdr>
        <w:top w:val="single" w:color="auto" w:sz="4" w:space="0"/>
        <w:bottom w:val="double" w:color="auto" w:sz="6" w:space="0"/>
      </w:pBdr>
      <w:spacing w:before="100" w:beforeAutospacing="1" w:after="100" w:afterAutospacing="1" w:line="240" w:lineRule="auto"/>
      <w:textAlignment w:val="center"/>
    </w:pPr>
    <w:rPr>
      <w:rFonts w:ascii="Microsoft Sans Serif" w:hAnsi="Microsoft Sans Serif" w:cs="Microsoft Sans Serif"/>
      <w:szCs w:val="24"/>
    </w:rPr>
  </w:style>
  <w:style w:type="paragraph" w:customStyle="1" w:styleId="143">
    <w:name w:val="Char Char4"/>
    <w:basedOn w:val="1"/>
    <w:qFormat/>
    <w:uiPriority w:val="0"/>
    <w:pPr>
      <w:spacing w:after="160" w:line="240" w:lineRule="exact"/>
    </w:pPr>
    <w:rPr>
      <w:rFonts w:ascii="Tahoma" w:hAnsi="Tahoma"/>
      <w:sz w:val="20"/>
      <w:szCs w:val="20"/>
      <w:lang w:val="en-US" w:eastAsia="en-US"/>
    </w:rPr>
  </w:style>
  <w:style w:type="character" w:customStyle="1" w:styleId="144">
    <w:name w:val="body_0020text__char"/>
    <w:qFormat/>
    <w:uiPriority w:val="0"/>
  </w:style>
  <w:style w:type="character" w:customStyle="1" w:styleId="145">
    <w:name w:val="apple-style-span"/>
    <w:qFormat/>
    <w:uiPriority w:val="0"/>
  </w:style>
  <w:style w:type="paragraph" w:customStyle="1" w:styleId="146">
    <w:name w:val="Aktivnost"/>
    <w:basedOn w:val="1"/>
    <w:link w:val="148"/>
    <w:qFormat/>
    <w:uiPriority w:val="0"/>
    <w:rPr>
      <w:i/>
      <w:sz w:val="28"/>
    </w:rPr>
  </w:style>
  <w:style w:type="paragraph" w:customStyle="1" w:styleId="147">
    <w:name w:val="Podnaslov"/>
    <w:basedOn w:val="1"/>
    <w:link w:val="149"/>
    <w:qFormat/>
    <w:uiPriority w:val="0"/>
    <w:rPr>
      <w:caps/>
      <w:sz w:val="28"/>
      <w:szCs w:val="26"/>
    </w:rPr>
  </w:style>
  <w:style w:type="character" w:customStyle="1" w:styleId="148">
    <w:name w:val="Aktivnost Char"/>
    <w:link w:val="146"/>
    <w:qFormat/>
    <w:uiPriority w:val="0"/>
    <w:rPr>
      <w:rFonts w:ascii="Calibri Light" w:hAnsi="Calibri Light"/>
      <w:i/>
      <w:sz w:val="28"/>
      <w:szCs w:val="22"/>
    </w:rPr>
  </w:style>
  <w:style w:type="character" w:customStyle="1" w:styleId="149">
    <w:name w:val="Podnaslov Char"/>
    <w:link w:val="147"/>
    <w:qFormat/>
    <w:uiPriority w:val="0"/>
    <w:rPr>
      <w:rFonts w:ascii="Calibri Light" w:hAnsi="Calibri Light"/>
      <w:caps/>
      <w:sz w:val="28"/>
      <w:szCs w:val="26"/>
    </w:rPr>
  </w:style>
  <w:style w:type="paragraph" w:customStyle="1" w:styleId="150">
    <w:name w:val="Redovi tablice"/>
    <w:basedOn w:val="1"/>
    <w:link w:val="151"/>
    <w:qFormat/>
    <w:uiPriority w:val="0"/>
    <w:pPr>
      <w:spacing w:before="60" w:after="60" w:line="240" w:lineRule="auto"/>
      <w:jc w:val="right"/>
    </w:pPr>
    <w:rPr>
      <w:bCs/>
      <w:iCs/>
      <w:sz w:val="22"/>
    </w:rPr>
  </w:style>
  <w:style w:type="character" w:customStyle="1" w:styleId="151">
    <w:name w:val="Redovi tablice Char"/>
    <w:basedOn w:val="11"/>
    <w:link w:val="150"/>
    <w:qFormat/>
    <w:uiPriority w:val="0"/>
    <w:rPr>
      <w:rFonts w:ascii="Calibri Light" w:hAnsi="Calibri Light"/>
      <w:bCs/>
      <w:iCs/>
      <w:sz w:val="22"/>
      <w:szCs w:val="22"/>
    </w:rPr>
  </w:style>
  <w:style w:type="table" w:customStyle="1" w:styleId="152">
    <w:name w:val="Plain Table 5"/>
    <w:basedOn w:val="12"/>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53">
    <w:name w:val="Grid Table 2 - Accent 51"/>
    <w:basedOn w:val="12"/>
    <w:qFormat/>
    <w:uiPriority w:val="47"/>
    <w:rPr>
      <w:rFonts w:asciiTheme="minorHAnsi" w:hAnsiTheme="minorHAnsi" w:eastAsiaTheme="minorHAnsi" w:cstheme="minorBidi"/>
      <w:sz w:val="22"/>
      <w:szCs w:val="22"/>
      <w:lang w:eastAsia="en-US"/>
    </w:rPr>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bottom w:val="single" w:color="9CC2E5" w:sz="12" w:space="0"/>
          <w:insideH w:val="nil"/>
          <w:insideV w:val="nil"/>
        </w:tcBorders>
        <w:shd w:val="clear" w:color="auto" w:fill="FFFFFF"/>
      </w:tcPr>
    </w:tblStylePr>
    <w:tblStylePr w:type="lastRow">
      <w:rPr>
        <w:b/>
        <w:bCs/>
      </w:rPr>
      <w:tcPr>
        <w:tcBorders>
          <w:top w:val="double" w:color="9CC2E5"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54">
    <w:name w:val="Grid Table 2 Accent 5"/>
    <w:basedOn w:val="12"/>
    <w:qFormat/>
    <w:uiPriority w:val="47"/>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155">
    <w:name w:val="Comment Text Char"/>
    <w:basedOn w:val="11"/>
    <w:link w:val="20"/>
    <w:qFormat/>
    <w:uiPriority w:val="0"/>
    <w:rPr>
      <w:rFonts w:ascii="Times New Roman" w:hAnsi="Times New Roman"/>
      <w:lang w:val="en-US" w:eastAsia="en-US"/>
    </w:rPr>
  </w:style>
  <w:style w:type="character" w:customStyle="1" w:styleId="156">
    <w:name w:val="Unresolved Mention1"/>
    <w:basedOn w:val="11"/>
    <w:semiHidden/>
    <w:unhideWhenUsed/>
    <w:qFormat/>
    <w:uiPriority w:val="99"/>
    <w:rPr>
      <w:color w:val="808080"/>
      <w:shd w:val="clear" w:color="auto" w:fill="E6E6E6"/>
    </w:rPr>
  </w:style>
  <w:style w:type="paragraph" w:customStyle="1" w:styleId="157">
    <w:name w:val="Zaglavlje stranice"/>
    <w:basedOn w:val="27"/>
    <w:link w:val="158"/>
    <w:qFormat/>
    <w:uiPriority w:val="0"/>
    <w:rPr>
      <w:spacing w:val="24"/>
      <w:sz w:val="20"/>
    </w:rPr>
  </w:style>
  <w:style w:type="character" w:customStyle="1" w:styleId="158">
    <w:name w:val="Zaglavlje stranice Char"/>
    <w:basedOn w:val="63"/>
    <w:link w:val="157"/>
    <w:qFormat/>
    <w:uiPriority w:val="0"/>
    <w:rPr>
      <w:rFonts w:ascii="Calibri Light" w:hAnsi="Calibri Light"/>
      <w:spacing w:val="24"/>
      <w:szCs w:val="22"/>
    </w:rPr>
  </w:style>
  <w:style w:type="character" w:customStyle="1" w:styleId="159">
    <w:name w:val="Plain Text Char"/>
    <w:basedOn w:val="11"/>
    <w:link w:val="31"/>
    <w:qFormat/>
    <w:uiPriority w:val="99"/>
    <w:rPr>
      <w:rFonts w:ascii="Arial" w:hAnsi="Arial"/>
      <w:sz w:val="26"/>
    </w:rPr>
  </w:style>
  <w:style w:type="paragraph" w:customStyle="1" w:styleId="160">
    <w:name w:val="x_msonormal"/>
    <w:basedOn w:val="1"/>
    <w:qFormat/>
    <w:uiPriority w:val="0"/>
    <w:pPr>
      <w:spacing w:after="0" w:line="240" w:lineRule="auto"/>
      <w:jc w:val="left"/>
    </w:pPr>
    <w:rPr>
      <w:rFonts w:ascii="Calibri" w:hAnsi="Calibri" w:cs="Calibri" w:eastAsiaTheme="minorHAnsi"/>
      <w:sz w:val="22"/>
    </w:rPr>
  </w:style>
  <w:style w:type="character" w:customStyle="1" w:styleId="161">
    <w:name w:val="List Paragraph Char"/>
    <w:link w:val="52"/>
    <w:qFormat/>
    <w:locked/>
    <w:uiPriority w:val="34"/>
    <w:rPr>
      <w:rFonts w:ascii="Calibri Light" w:hAnsi="Calibri Light"/>
      <w:sz w:val="26"/>
      <w:szCs w:val="22"/>
    </w:rPr>
  </w:style>
  <w:style w:type="character" w:customStyle="1" w:styleId="162">
    <w:name w:val="Footnote Text Char"/>
    <w:basedOn w:val="11"/>
    <w:link w:val="26"/>
    <w:semiHidden/>
    <w:qFormat/>
    <w:uiPriority w:val="99"/>
    <w:rPr>
      <w:rFonts w:asciiTheme="minorHAnsi" w:hAnsiTheme="minorHAnsi" w:eastAsiaTheme="minorHAnsi" w:cstheme="minorBidi"/>
      <w:lang w:eastAsia="en-US"/>
    </w:rPr>
  </w:style>
  <w:style w:type="character" w:customStyle="1" w:styleId="163">
    <w:name w:val="normaltextrun"/>
    <w:basedOn w:val="11"/>
    <w:qFormat/>
    <w:uiPriority w:val="0"/>
  </w:style>
  <w:style w:type="character" w:customStyle="1" w:styleId="164">
    <w:name w:val="spellingerror"/>
    <w:basedOn w:val="11"/>
    <w:qFormat/>
    <w:uiPriority w:val="0"/>
  </w:style>
  <w:style w:type="character" w:customStyle="1" w:styleId="165">
    <w:name w:val="eop"/>
    <w:basedOn w:val="11"/>
    <w:qFormat/>
    <w:uiPriority w:val="0"/>
  </w:style>
  <w:style w:type="character" w:customStyle="1" w:styleId="166">
    <w:name w:val="Unresolved Mention"/>
    <w:basedOn w:val="11"/>
    <w:semiHidden/>
    <w:unhideWhenUsed/>
    <w:qFormat/>
    <w:uiPriority w:val="99"/>
    <w:rPr>
      <w:color w:val="605E5C"/>
      <w:shd w:val="clear" w:color="auto" w:fill="E1DFDD"/>
    </w:rPr>
  </w:style>
  <w:style w:type="table" w:customStyle="1" w:styleId="167">
    <w:name w:val="Rešetka tablice1"/>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Rešetka tablice2"/>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
    <w:name w:val="Body Text 2 Char"/>
    <w:basedOn w:val="11"/>
    <w:link w:val="15"/>
    <w:semiHidden/>
    <w:qFormat/>
    <w:uiPriority w:val="99"/>
    <w:rPr>
      <w:rFonts w:ascii="Calibri Light" w:hAnsi="Calibri Light"/>
      <w:sz w:val="26"/>
      <w:szCs w:val="22"/>
    </w:rPr>
  </w:style>
  <w:style w:type="paragraph" w:customStyle="1" w:styleId="170">
    <w:name w:val="x_xmsonormal"/>
    <w:basedOn w:val="1"/>
    <w:qFormat/>
    <w:uiPriority w:val="0"/>
    <w:pPr>
      <w:spacing w:after="0" w:line="240" w:lineRule="auto"/>
      <w:jc w:val="left"/>
    </w:pPr>
    <w:rPr>
      <w:rFonts w:ascii="Calibri" w:hAnsi="Calibri" w:cs="Calibri" w:eastAsia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jdubravac\OneDrive%20-%20Nastavni%20zavod%20za%20javno%20zdravstvo%20Dr.%20Andrija%20&#352;tampar\Radna%20povr&#353;ina\Sistematizacija%202024\Izvje&#353;taji%20kratki\2024-12-09%20%20plan%20zaposljavanja%20za%20Plan%20i%20analizu%20do%20kraja%20godine.csv"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[2024-12-09  plan zaposljavanja za Plan i analizu do kraja godine.csv]List1!Zaokretna tablica1</c:name>
    <c:fmtId val="-1"/>
  </c:pivotSource>
  <c:chart>
    <c:autoTitleDeleted val="1"/>
    <c:plotArea>
      <c:layout/>
      <c:pieChart>
        <c:varyColors val="1"/>
        <c:ser>
          <c:idx val="0"/>
          <c:order val="0"/>
          <c:tx>
            <c:strRef>
              <c:f>List1!$B$3</c:f>
              <c:strCache>
                <c:ptCount val="1"/>
                <c:pt idx="0">
                  <c:v>Broj od Spol/Kratica</c:v>
                </c:pt>
              </c:strCache>
            </c:strRef>
          </c:tx>
          <c:spPr>
            <a:solidFill>
              <a:srgbClr val="0070C0"/>
            </a:solidFill>
          </c:spPr>
          <c:explosion val="0"/>
          <c:dPt>
            <c:idx val="0"/>
            <c:bubble3D val="0"/>
            <c:spPr>
              <a:solidFill>
                <a:srgbClr val="00B0F0"/>
              </a:solidFill>
              <a:ln w="19050">
                <a:solidFill>
                  <a:schemeClr val="lt1"/>
                </a:solidFill>
              </a:ln>
              <a:effectLst/>
            </c:spPr>
          </c:dPt>
          <c:dPt>
            <c:idx val="1"/>
            <c:bubble3D val="0"/>
            <c:spPr>
              <a:solidFill>
                <a:srgbClr val="C0000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List1!$A$4:$A$6</c:f>
              <c:strCache>
                <c:ptCount val="2"/>
                <c:pt idx="0">
                  <c:v>M</c:v>
                </c:pt>
                <c:pt idx="1">
                  <c:v>Ž</c:v>
                </c:pt>
              </c:strCache>
            </c:strRef>
          </c:cat>
          <c:val>
            <c:numRef>
              <c:f>List1!$B$4:$B$6</c:f>
              <c:numCache>
                <c:formatCode>General</c:formatCode>
                <c:ptCount val="2"/>
                <c:pt idx="0">
                  <c:v>86</c:v>
                </c:pt>
                <c:pt idx="1">
                  <c:v>333</c:v>
                </c:pt>
              </c:numCache>
            </c:numRef>
          </c:val>
        </c:ser>
        <c:ser>
          <c:idx val="1"/>
          <c:order val="1"/>
          <c:tx>
            <c:strRef>
              <c:f>List1!$C$3</c:f>
              <c:strCache>
                <c:ptCount val="1"/>
                <c:pt idx="0">
                  <c:v>Broj od Spol/Kratica2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List1!$A$4:$A$6</c:f>
              <c:strCache>
                <c:ptCount val="2"/>
                <c:pt idx="0">
                  <c:v>M</c:v>
                </c:pt>
                <c:pt idx="1">
                  <c:v>Ž</c:v>
                </c:pt>
              </c:strCache>
            </c:strRef>
          </c:cat>
          <c:val>
            <c:numRef>
              <c:f>List1!$C$4:$C$6</c:f>
              <c:numCache>
                <c:formatCode>0.00%</c:formatCode>
                <c:ptCount val="2"/>
                <c:pt idx="0">
                  <c:v>0.205250596658711</c:v>
                </c:pt>
                <c:pt idx="1">
                  <c:v>0.794749403341289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393722-170d-417c-b6cd-c2eb3848c8f0}"/>
      </c:ext>
    </c:extLst>
  </c:chart>
  <c:spPr>
    <a:solidFill>
      <a:schemeClr val="bg1"/>
    </a:solidFill>
    <a:ln w="6350" cap="flat" cmpd="sng" algn="ctr">
      <a:noFill/>
      <a:round/>
    </a:ln>
    <a:effectLst/>
  </c:spPr>
  <c:txPr>
    <a:bodyPr/>
    <a:lstStyle/>
    <a:p>
      <a:pPr>
        <a:defRPr lang="en-US" sz="1200"/>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List1!$L$4</c:f>
              <c:strCache>
                <c:ptCount val="1"/>
                <c:pt idx="0">
                  <c:v>M</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List1!$K$5:$K$9</c:f>
              <c:strCache>
                <c:ptCount val="5"/>
                <c:pt idx="0">
                  <c:v>&lt;30</c:v>
                </c:pt>
                <c:pt idx="1">
                  <c:v>30-39</c:v>
                </c:pt>
                <c:pt idx="2">
                  <c:v>40-49</c:v>
                </c:pt>
                <c:pt idx="3">
                  <c:v>50-59</c:v>
                </c:pt>
                <c:pt idx="4">
                  <c:v>60&gt;=</c:v>
                </c:pt>
              </c:strCache>
            </c:strRef>
          </c:cat>
          <c:val>
            <c:numRef>
              <c:f>List1!$L$5:$L$9</c:f>
              <c:numCache>
                <c:formatCode>General</c:formatCode>
                <c:ptCount val="5"/>
                <c:pt idx="0">
                  <c:v>13</c:v>
                </c:pt>
                <c:pt idx="1">
                  <c:v>21</c:v>
                </c:pt>
                <c:pt idx="2">
                  <c:v>25</c:v>
                </c:pt>
                <c:pt idx="3">
                  <c:v>21</c:v>
                </c:pt>
                <c:pt idx="4">
                  <c:v>6</c:v>
                </c:pt>
              </c:numCache>
            </c:numRef>
          </c:val>
        </c:ser>
        <c:ser>
          <c:idx val="1"/>
          <c:order val="1"/>
          <c:tx>
            <c:strRef>
              <c:f>List1!$M$4</c:f>
              <c:strCache>
                <c:ptCount val="1"/>
                <c:pt idx="0">
                  <c:v>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List1!$K$5:$K$9</c:f>
              <c:strCache>
                <c:ptCount val="5"/>
                <c:pt idx="0">
                  <c:v>&lt;30</c:v>
                </c:pt>
                <c:pt idx="1">
                  <c:v>30-39</c:v>
                </c:pt>
                <c:pt idx="2">
                  <c:v>40-49</c:v>
                </c:pt>
                <c:pt idx="3">
                  <c:v>50-59</c:v>
                </c:pt>
                <c:pt idx="4">
                  <c:v>60&gt;=</c:v>
                </c:pt>
              </c:strCache>
            </c:strRef>
          </c:cat>
          <c:val>
            <c:numRef>
              <c:f>List1!$M$5:$M$9</c:f>
              <c:numCache>
                <c:formatCode>General</c:formatCode>
                <c:ptCount val="5"/>
                <c:pt idx="0">
                  <c:v>37</c:v>
                </c:pt>
                <c:pt idx="1">
                  <c:v>68</c:v>
                </c:pt>
                <c:pt idx="2">
                  <c:v>106</c:v>
                </c:pt>
                <c:pt idx="3">
                  <c:v>87</c:v>
                </c:pt>
                <c:pt idx="4">
                  <c:v>35</c:v>
                </c:pt>
              </c:numCache>
            </c:numRef>
          </c:val>
        </c:ser>
        <c:dLbls>
          <c:showLegendKey val="0"/>
          <c:showVal val="1"/>
          <c:showCatName val="0"/>
          <c:showSerName val="0"/>
          <c:showPercent val="0"/>
          <c:showBubbleSize val="0"/>
        </c:dLbls>
        <c:gapWidth val="150"/>
        <c:overlap val="-27"/>
        <c:axId val="1663371424"/>
        <c:axId val="1663383904"/>
      </c:barChart>
      <c:catAx>
        <c:axId val="166337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p>
        </c:txPr>
        <c:crossAx val="1663383904"/>
        <c:crosses val="autoZero"/>
        <c:auto val="1"/>
        <c:lblAlgn val="ctr"/>
        <c:lblOffset val="100"/>
        <c:noMultiLvlLbl val="0"/>
      </c:catAx>
      <c:valAx>
        <c:axId val="1663383904"/>
        <c:scaling>
          <c:orientation val="minMax"/>
        </c:scaling>
        <c:delete val="0"/>
        <c:axPos val="l"/>
        <c:majorGridlines>
          <c:spPr>
            <a:ln w="6350"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p>
        </c:txPr>
        <c:crossAx val="1663371424"/>
        <c:crosses val="autoZero"/>
        <c:crossBetween val="between"/>
      </c:valAx>
      <c:spPr>
        <a:noFill/>
        <a:ln>
          <a:noFill/>
        </a:ln>
        <a:effectLst/>
      </c:spPr>
    </c:plotArea>
    <c:legend>
      <c:legendPos val="b"/>
      <c:layout>
        <c:manualLayout>
          <c:xMode val="edge"/>
          <c:yMode val="edge"/>
          <c:x val="0.415698732102932"/>
          <c:y val="0.86940850797198"/>
          <c:w val="0.16198877918038"/>
          <c:h val="0.101027560025063"/>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5d1a11-fdd3-4ba7-af4f-29b8075391d4}"/>
      </c:ext>
    </c:extLst>
  </c:chart>
  <c:spPr>
    <a:solidFill>
      <a:schemeClr val="bg1"/>
    </a:solidFill>
    <a:ln w="9525" cap="flat" cmpd="sng" algn="ctr">
      <a:noFill/>
      <a:round/>
    </a:ln>
    <a:effectLst/>
  </c:spPr>
  <c:txPr>
    <a:bodyPr/>
    <a:lstStyle/>
    <a:p>
      <a:pPr>
        <a:defRPr lang="en-US" sz="11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[2024-12-09  plan zaposljavanja za Plan i analizu do kraja godine.csv]List1!Zaokretna tablica1</c:name>
    <c:fmtId val="-1"/>
  </c:pivotSource>
  <c:chart>
    <c:autoTitleDeleted val="1"/>
    <c:plotArea>
      <c:layout>
        <c:manualLayout>
          <c:layoutTarget val="inner"/>
          <c:xMode val="edge"/>
          <c:yMode val="edge"/>
          <c:x val="0.233828410337597"/>
          <c:y val="0.165572212294078"/>
          <c:w val="0.405023851185269"/>
          <c:h val="0.728320392061993"/>
        </c:manualLayout>
      </c:layout>
      <c:pieChart>
        <c:varyColors val="1"/>
        <c:ser>
          <c:idx val="0"/>
          <c:order val="0"/>
          <c:tx>
            <c:strRef>
              <c:f>List1!$B$3:$B$4</c:f>
              <c:strCache>
                <c:ptCount val="1"/>
                <c:pt idx="0">
                  <c:v>0</c:v>
                </c:pt>
              </c:strCache>
            </c:strRef>
          </c:tx>
          <c:spPr>
            <a:ln w="9525">
              <a:solidFill>
                <a:schemeClr val="lt1">
                  <a:alpha val="94000"/>
                </a:schemeClr>
              </a:solidFill>
            </a:ln>
          </c:spPr>
          <c:explosion val="0"/>
          <c:dPt>
            <c:idx val="0"/>
            <c:bubble3D val="0"/>
            <c:spPr>
              <a:solidFill>
                <a:schemeClr val="accent1"/>
              </a:solidFill>
              <a:ln w="9525">
                <a:solidFill>
                  <a:schemeClr val="lt1">
                    <a:alpha val="94000"/>
                  </a:schemeClr>
                </a:solidFill>
              </a:ln>
              <a:effectLst/>
            </c:spPr>
          </c:dPt>
          <c:dPt>
            <c:idx val="1"/>
            <c:bubble3D val="0"/>
            <c:spPr>
              <a:solidFill>
                <a:schemeClr val="accent2"/>
              </a:solidFill>
              <a:ln w="9525">
                <a:solidFill>
                  <a:schemeClr val="lt1">
                    <a:alpha val="94000"/>
                  </a:schemeClr>
                </a:solidFill>
              </a:ln>
              <a:effectLst/>
            </c:spPr>
          </c:dPt>
          <c:dPt>
            <c:idx val="2"/>
            <c:bubble3D val="0"/>
            <c:spPr>
              <a:solidFill>
                <a:schemeClr val="accent3"/>
              </a:solidFill>
              <a:ln w="9525">
                <a:solidFill>
                  <a:schemeClr val="lt1">
                    <a:alpha val="94000"/>
                  </a:schemeClr>
                </a:solidFill>
              </a:ln>
              <a:effectLst/>
            </c:spPr>
          </c:dPt>
          <c:dPt>
            <c:idx val="3"/>
            <c:bubble3D val="0"/>
            <c:spPr>
              <a:solidFill>
                <a:schemeClr val="accent4"/>
              </a:solidFill>
              <a:ln w="9525">
                <a:solidFill>
                  <a:schemeClr val="lt1">
                    <a:alpha val="94000"/>
                  </a:schemeClr>
                </a:solidFill>
              </a:ln>
              <a:effectLst/>
            </c:spPr>
          </c:dPt>
          <c:dPt>
            <c:idx val="4"/>
            <c:bubble3D val="0"/>
            <c:spPr>
              <a:solidFill>
                <a:schemeClr val="accent5"/>
              </a:solidFill>
              <a:ln w="9525">
                <a:solidFill>
                  <a:schemeClr val="lt1">
                    <a:alpha val="94000"/>
                  </a:schemeClr>
                </a:solidFill>
              </a:ln>
              <a:effectLst/>
            </c:spPr>
          </c:dPt>
          <c:dPt>
            <c:idx val="5"/>
            <c:bubble3D val="0"/>
            <c:spPr>
              <a:solidFill>
                <a:schemeClr val="accent6"/>
              </a:solidFill>
              <a:ln w="9525">
                <a:solidFill>
                  <a:schemeClr val="lt1">
                    <a:alpha val="94000"/>
                  </a:schemeClr>
                </a:solidFill>
              </a:ln>
              <a:effectLst/>
            </c:spPr>
          </c:dPt>
          <c:dLbls>
            <c:dLbl>
              <c:idx val="1"/>
              <c:layout>
                <c:manualLayout>
                  <c:x val="0.0396825396825397"/>
                  <c:y val="-0.0079286422200198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793650793650794"/>
                  <c:y val="0.01585728444003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6350" cap="flat" cmpd="sng" algn="ctr">
                      <a:solidFill>
                        <a:schemeClr val="tx1">
                          <a:lumMod val="35000"/>
                          <a:lumOff val="65000"/>
                        </a:schemeClr>
                      </a:solidFill>
                      <a:round/>
                    </a:ln>
                    <a:effectLst/>
                  </c:spPr>
                </c15:leaderLines>
              </c:ext>
            </c:extLst>
          </c:dLbls>
          <c:cat>
            <c:strRef>
              <c:f>List1!$A$5:$A$11</c:f>
              <c:strCache>
                <c:ptCount val="6"/>
                <c:pt idx="0">
                  <c:v>KV</c:v>
                </c:pt>
                <c:pt idx="1">
                  <c:v>NKV</c:v>
                </c:pt>
                <c:pt idx="2">
                  <c:v>NSS</c:v>
                </c:pt>
                <c:pt idx="3">
                  <c:v>SSS</c:v>
                </c:pt>
                <c:pt idx="4">
                  <c:v>VSS</c:v>
                </c:pt>
                <c:pt idx="5">
                  <c:v>VŠS</c:v>
                </c:pt>
              </c:strCache>
            </c:strRef>
          </c:cat>
          <c:val>
            <c:numRef>
              <c:f>List1!$B$5:$B$11</c:f>
              <c:numCache>
                <c:formatCode>General</c:formatCode>
                <c:ptCount val="6"/>
                <c:pt idx="0">
                  <c:v>1</c:v>
                </c:pt>
                <c:pt idx="1">
                  <c:v>12</c:v>
                </c:pt>
                <c:pt idx="2">
                  <c:v>2</c:v>
                </c:pt>
                <c:pt idx="3">
                  <c:v>114</c:v>
                </c:pt>
                <c:pt idx="4">
                  <c:v>150</c:v>
                </c:pt>
                <c:pt idx="5">
                  <c:v>79</c:v>
                </c:pt>
              </c:numCache>
            </c:numRef>
          </c:val>
        </c:ser>
        <c:ser>
          <c:idx val="1"/>
          <c:order val="1"/>
          <c:tx>
            <c:strRef>
              <c:f>List1!$C$3:$C$4</c:f>
              <c:strCache>
                <c:ptCount val="1"/>
                <c:pt idx="0">
                  <c:v>5</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List1!$A$5:$A$11</c:f>
              <c:strCache>
                <c:ptCount val="6"/>
                <c:pt idx="0">
                  <c:v>KV</c:v>
                </c:pt>
                <c:pt idx="1">
                  <c:v>NKV</c:v>
                </c:pt>
                <c:pt idx="2">
                  <c:v>NSS</c:v>
                </c:pt>
                <c:pt idx="3">
                  <c:v>SSS</c:v>
                </c:pt>
                <c:pt idx="4">
                  <c:v>VSS</c:v>
                </c:pt>
                <c:pt idx="5">
                  <c:v>VŠS</c:v>
                </c:pt>
              </c:strCache>
            </c:strRef>
          </c:cat>
          <c:val>
            <c:numRef>
              <c:f>List1!$C$5:$C$11</c:f>
              <c:numCache>
                <c:formatCode>General</c:formatCode>
                <c:ptCount val="6"/>
                <c:pt idx="4">
                  <c:v>6</c:v>
                </c:pt>
              </c:numCache>
            </c:numRef>
          </c:val>
        </c:ser>
        <c:ser>
          <c:idx val="2"/>
          <c:order val="2"/>
          <c:tx>
            <c:strRef>
              <c:f>List1!$D$3:$D$4</c:f>
              <c:strCache>
                <c:ptCount val="1"/>
                <c:pt idx="0">
                  <c:v>8</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List1!$A$5:$A$11</c:f>
              <c:strCache>
                <c:ptCount val="6"/>
                <c:pt idx="0">
                  <c:v>KV</c:v>
                </c:pt>
                <c:pt idx="1">
                  <c:v>NKV</c:v>
                </c:pt>
                <c:pt idx="2">
                  <c:v>NSS</c:v>
                </c:pt>
                <c:pt idx="3">
                  <c:v>SSS</c:v>
                </c:pt>
                <c:pt idx="4">
                  <c:v>VSS</c:v>
                </c:pt>
                <c:pt idx="5">
                  <c:v>VŠS</c:v>
                </c:pt>
              </c:strCache>
            </c:strRef>
          </c:cat>
          <c:val>
            <c:numRef>
              <c:f>List1!$D$5:$D$11</c:f>
              <c:numCache>
                <c:formatCode>General</c:formatCode>
                <c:ptCount val="6"/>
                <c:pt idx="4">
                  <c:v>10</c:v>
                </c:pt>
              </c:numCache>
            </c:numRef>
          </c:val>
        </c:ser>
        <c:ser>
          <c:idx val="3"/>
          <c:order val="3"/>
          <c:tx>
            <c:strRef>
              <c:f>List1!$E$3:$E$4</c:f>
              <c:strCache>
                <c:ptCount val="1"/>
                <c:pt idx="0">
                  <c:v>15</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List1!$A$5:$A$11</c:f>
              <c:strCache>
                <c:ptCount val="6"/>
                <c:pt idx="0">
                  <c:v>KV</c:v>
                </c:pt>
                <c:pt idx="1">
                  <c:v>NKV</c:v>
                </c:pt>
                <c:pt idx="2">
                  <c:v>NSS</c:v>
                </c:pt>
                <c:pt idx="3">
                  <c:v>SSS</c:v>
                </c:pt>
                <c:pt idx="4">
                  <c:v>VSS</c:v>
                </c:pt>
                <c:pt idx="5">
                  <c:v>VŠS</c:v>
                </c:pt>
              </c:strCache>
            </c:strRef>
          </c:cat>
          <c:val>
            <c:numRef>
              <c:f>List1!$E$5:$E$11</c:f>
              <c:numCache>
                <c:formatCode>General</c:formatCode>
                <c:ptCount val="6"/>
                <c:pt idx="4">
                  <c:v>42</c:v>
                </c:pt>
              </c:numCache>
            </c:numRef>
          </c:val>
        </c:ser>
        <c:ser>
          <c:idx val="4"/>
          <c:order val="4"/>
          <c:tx>
            <c:strRef>
              <c:f>List1!$F$3:$F$4</c:f>
              <c:strCache>
                <c:ptCount val="1"/>
                <c:pt idx="0">
                  <c:v>(prazno)</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1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List1!$A$5:$A$11</c:f>
              <c:strCache>
                <c:ptCount val="6"/>
                <c:pt idx="0">
                  <c:v>KV</c:v>
                </c:pt>
                <c:pt idx="1">
                  <c:v>NKV</c:v>
                </c:pt>
                <c:pt idx="2">
                  <c:v>NSS</c:v>
                </c:pt>
                <c:pt idx="3">
                  <c:v>SSS</c:v>
                </c:pt>
                <c:pt idx="4">
                  <c:v>VSS</c:v>
                </c:pt>
                <c:pt idx="5">
                  <c:v>VŠS</c:v>
                </c:pt>
              </c:strCache>
            </c:strRef>
          </c:cat>
          <c:val>
            <c:numRef>
              <c:f>List1!$F$5:$F$11</c:f>
              <c:numCache>
                <c:formatCode>General</c:formatCode>
                <c:ptCount val="6"/>
                <c:pt idx="3">
                  <c:v>1</c:v>
                </c:pt>
                <c:pt idx="4">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b2ee677-ca09-4277-b9e0-d79bcd2f3ee6}"/>
      </c:ext>
    </c:extLst>
  </c:chart>
  <c:spPr>
    <a:solidFill>
      <a:schemeClr val="bg1"/>
    </a:solidFill>
    <a:ln w="9525" cap="flat" cmpd="sng" algn="ctr">
      <a:noFill/>
      <a:round/>
    </a:ln>
    <a:effectLst/>
  </c:spPr>
  <c:txPr>
    <a:bodyPr/>
    <a:lstStyle/>
    <a:p>
      <a:pPr>
        <a:defRPr lang="en-US" sz="1100"/>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76733653533"/>
          <c:y val="0.0412741323227406"/>
          <c:w val="0.440955428831409"/>
          <c:h val="0.890919498686968"/>
        </c:manualLayout>
      </c:layout>
      <c:pieChart>
        <c:varyColors val="1"/>
        <c:ser>
          <c:idx val="0"/>
          <c:order val="0"/>
          <c:tx>
            <c:strRef>
              <c:f>List1!$A$18</c:f>
              <c:strCache>
                <c:ptCount val="1"/>
                <c:pt idx="0">
                  <c:v>Visoka stručna sprema</c:v>
                </c:pt>
              </c:strCache>
            </c:strRef>
          </c:tx>
          <c:spPr>
            <a:ln w="9525">
              <a:solidFill>
                <a:schemeClr val="lt1"/>
              </a:solidFill>
            </a:ln>
          </c:spPr>
          <c:explosion val="0"/>
          <c:dPt>
            <c:idx val="0"/>
            <c:bubble3D val="0"/>
            <c:spPr>
              <a:solidFill>
                <a:schemeClr val="accent1"/>
              </a:solidFill>
              <a:ln w="9525">
                <a:solidFill>
                  <a:schemeClr val="lt1"/>
                </a:solidFill>
              </a:ln>
              <a:effectLst/>
            </c:spPr>
          </c:dPt>
          <c:dPt>
            <c:idx val="1"/>
            <c:bubble3D val="0"/>
            <c:spPr>
              <a:solidFill>
                <a:schemeClr val="accent2"/>
              </a:solidFill>
              <a:ln w="9525">
                <a:solidFill>
                  <a:schemeClr val="lt1"/>
                </a:solidFill>
              </a:ln>
              <a:effectLst/>
            </c:spPr>
          </c:dPt>
          <c:dPt>
            <c:idx val="2"/>
            <c:bubble3D val="0"/>
            <c:spPr>
              <a:solidFill>
                <a:schemeClr val="accent3"/>
              </a:solidFill>
              <a:ln w="9525">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List1!$B$17:$D$17</c:f>
              <c:strCache>
                <c:ptCount val="3"/>
                <c:pt idx="0">
                  <c:v>VSS</c:v>
                </c:pt>
                <c:pt idx="1">
                  <c:v>Magistar znanosti</c:v>
                </c:pt>
                <c:pt idx="2">
                  <c:v>Doktor znanosti</c:v>
                </c:pt>
              </c:strCache>
            </c:strRef>
          </c:cat>
          <c:val>
            <c:numRef>
              <c:f>List1!$B$18:$D$18</c:f>
              <c:numCache>
                <c:formatCode>General</c:formatCode>
                <c:ptCount val="3"/>
                <c:pt idx="0">
                  <c:v>158</c:v>
                </c:pt>
                <c:pt idx="1">
                  <c:v>10</c:v>
                </c:pt>
                <c:pt idx="2">
                  <c:v>42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6662d5-18a6-4555-9967-99e7068e13df}"/>
      </c:ext>
    </c:extLst>
  </c:chart>
  <c:spPr>
    <a:solidFill>
      <a:schemeClr val="bg1"/>
    </a:solidFill>
    <a:ln w="9525" cap="flat" cmpd="sng" algn="ctr">
      <a:noFill/>
      <a:round/>
    </a:ln>
    <a:effectLst/>
  </c:spPr>
  <c:txPr>
    <a:bodyPr/>
    <a:lstStyle/>
    <a:p>
      <a:pPr>
        <a:defRPr lang="en-US"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Ligh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D2E1-BB96-4244-A91F-A6144FFCFA4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72</Pages>
  <Words>25524</Words>
  <Characters>145491</Characters>
  <Lines>1212</Lines>
  <Paragraphs>341</Paragraphs>
  <TotalTime>871</TotalTime>
  <ScaleCrop>false</ScaleCrop>
  <LinksUpToDate>false</LinksUpToDate>
  <CharactersWithSpaces>170674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2024-10-04T07:55:00Z</dcterms:created>
  <dc:creator>KP.</dc:creator>
  <cp:lastModifiedBy>jjonke</cp:lastModifiedBy>
  <cp:lastPrinted>2023-07-11T08:07:00Z</cp:lastPrinted>
  <dcterms:modified xsi:type="dcterms:W3CDTF">2024-12-11T14:16:43Z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3957FE9444A44A67A8046A0762385D15_13</vt:lpwstr>
  </property>
</Properties>
</file>